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D73BB" w14:textId="77777777" w:rsidR="00BA1C47" w:rsidRDefault="00BA1C47" w:rsidP="00BA1C47">
      <w:pPr>
        <w:jc w:val="center"/>
        <w:rPr>
          <w:rFonts w:ascii="Calibri" w:hAnsi="Calibri"/>
        </w:rPr>
      </w:pPr>
      <w:bookmarkStart w:id="0" w:name="_Hlk52982001"/>
      <w:r w:rsidRPr="005C5EAE">
        <w:rPr>
          <w:b/>
          <w:i/>
          <w:noProof/>
        </w:rPr>
        <w:drawing>
          <wp:inline distT="0" distB="0" distL="0" distR="0" wp14:anchorId="37FB5ADB" wp14:editId="40D94F89">
            <wp:extent cx="2371090" cy="952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1090" cy="952500"/>
                    </a:xfrm>
                    <a:prstGeom prst="rect">
                      <a:avLst/>
                    </a:prstGeom>
                    <a:noFill/>
                    <a:ln>
                      <a:noFill/>
                    </a:ln>
                  </pic:spPr>
                </pic:pic>
              </a:graphicData>
            </a:graphic>
          </wp:inline>
        </w:drawing>
      </w:r>
    </w:p>
    <w:p w14:paraId="788D9AA2" w14:textId="77777777" w:rsidR="00BA1C47" w:rsidRDefault="00BA1C47" w:rsidP="00BA1C47">
      <w:pPr>
        <w:jc w:val="center"/>
      </w:pPr>
    </w:p>
    <w:p w14:paraId="6B72208D" w14:textId="77777777" w:rsidR="00BA1C47" w:rsidRPr="003B2FB5" w:rsidRDefault="00BA1C47" w:rsidP="00BA1C47">
      <w:pPr>
        <w:jc w:val="center"/>
      </w:pPr>
    </w:p>
    <w:p w14:paraId="1457AA0D" w14:textId="77777777" w:rsidR="00BA1C47" w:rsidRDefault="009C4F7F" w:rsidP="00BA1C47">
      <w:pPr>
        <w:jc w:val="center"/>
        <w:rPr>
          <w:rFonts w:ascii="Arial" w:hAnsi="Arial" w:cs="Arial"/>
          <w:b/>
        </w:rPr>
      </w:pPr>
      <w:r>
        <w:rPr>
          <w:rFonts w:ascii="Arial" w:hAnsi="Arial" w:cs="Arial"/>
          <w:b/>
        </w:rPr>
        <w:t>DETERMINAZIONE</w:t>
      </w:r>
      <w:r w:rsidR="00BA1C47">
        <w:rPr>
          <w:rFonts w:ascii="Arial" w:hAnsi="Arial" w:cs="Arial"/>
          <w:b/>
        </w:rPr>
        <w:t xml:space="preserve"> DIRIGENZIALE</w:t>
      </w:r>
    </w:p>
    <w:p w14:paraId="02236CB3" w14:textId="77777777" w:rsidR="00BA1C47" w:rsidRPr="00676C51" w:rsidRDefault="00BA1C47" w:rsidP="00BA1C47">
      <w:pPr>
        <w:jc w:val="center"/>
        <w:rPr>
          <w:rFonts w:ascii="Arial" w:hAnsi="Arial" w:cs="Arial"/>
          <w:b/>
        </w:rPr>
      </w:pPr>
    </w:p>
    <w:p w14:paraId="240DB671" w14:textId="77777777" w:rsidR="00BA1C47" w:rsidRPr="00311EDC" w:rsidRDefault="00BA1C47" w:rsidP="00BA1C47">
      <w:pPr>
        <w:jc w:val="center"/>
        <w:rPr>
          <w:rFonts w:ascii="Arial" w:hAnsi="Arial" w:cs="Arial"/>
        </w:rPr>
      </w:pPr>
      <w:r w:rsidRPr="00311EDC">
        <w:rPr>
          <w:rFonts w:ascii="Arial" w:hAnsi="Arial" w:cs="Arial"/>
        </w:rPr>
        <w:t xml:space="preserve">N. </w:t>
      </w:r>
      <w:r w:rsidRPr="00311EDC">
        <w:rPr>
          <w:rFonts w:ascii="Arial" w:hAnsi="Arial" w:cs="Arial"/>
        </w:rPr>
        <w:fldChar w:fldCharType="begin"/>
      </w:r>
      <w:r w:rsidRPr="00311EDC">
        <w:rPr>
          <w:rFonts w:ascii="Arial" w:hAnsi="Arial" w:cs="Arial"/>
        </w:rPr>
        <w:instrText xml:space="preserve"> MERGEFIELD NUMERO_DETERMINA </w:instrText>
      </w:r>
      <w:r w:rsidRPr="00311EDC">
        <w:rPr>
          <w:rFonts w:ascii="Arial" w:hAnsi="Arial" w:cs="Arial"/>
        </w:rPr>
        <w:fldChar w:fldCharType="separate"/>
      </w:r>
      <w:r>
        <w:rPr>
          <w:rFonts w:ascii="Arial" w:hAnsi="Arial" w:cs="Arial"/>
          <w:noProof/>
        </w:rPr>
        <w:t>«NUMERO_DETERMINA»</w:t>
      </w:r>
      <w:r w:rsidRPr="00311EDC">
        <w:rPr>
          <w:rFonts w:ascii="Arial" w:hAnsi="Arial" w:cs="Arial"/>
        </w:rPr>
        <w:fldChar w:fldCharType="end"/>
      </w:r>
      <w:r w:rsidRPr="00311EDC">
        <w:rPr>
          <w:rFonts w:ascii="Arial" w:hAnsi="Arial" w:cs="Arial"/>
        </w:rPr>
        <w:t xml:space="preserve">  DEL  </w:t>
      </w:r>
      <w:r w:rsidRPr="00311EDC">
        <w:rPr>
          <w:rFonts w:ascii="Arial" w:hAnsi="Arial" w:cs="Arial"/>
        </w:rPr>
        <w:fldChar w:fldCharType="begin"/>
      </w:r>
      <w:r w:rsidRPr="00311EDC">
        <w:rPr>
          <w:rFonts w:ascii="Arial" w:hAnsi="Arial" w:cs="Arial"/>
        </w:rPr>
        <w:instrText xml:space="preserve"> MERGEFIELD DATA_DETERMINA </w:instrText>
      </w:r>
      <w:r w:rsidRPr="00311EDC">
        <w:rPr>
          <w:rFonts w:ascii="Arial" w:hAnsi="Arial" w:cs="Arial"/>
        </w:rPr>
        <w:fldChar w:fldCharType="separate"/>
      </w:r>
      <w:r>
        <w:rPr>
          <w:rFonts w:ascii="Arial" w:hAnsi="Arial" w:cs="Arial"/>
          <w:noProof/>
        </w:rPr>
        <w:t>«DATA_DETERMINA»</w:t>
      </w:r>
      <w:r w:rsidRPr="00311EDC">
        <w:rPr>
          <w:rFonts w:ascii="Arial" w:hAnsi="Arial" w:cs="Arial"/>
        </w:rPr>
        <w:fldChar w:fldCharType="end"/>
      </w:r>
    </w:p>
    <w:p w14:paraId="3D1CD55C" w14:textId="77777777" w:rsidR="00BA1C47" w:rsidRPr="00311EDC" w:rsidRDefault="00BA1C47" w:rsidP="00BA1C47">
      <w:pPr>
        <w:jc w:val="center"/>
        <w:rPr>
          <w:rFonts w:ascii="Arial" w:hAnsi="Arial" w:cs="Arial"/>
        </w:rPr>
      </w:pPr>
    </w:p>
    <w:p w14:paraId="1631FFC5" w14:textId="5BC00F38" w:rsidR="00BA1C47" w:rsidRDefault="00BA1C47" w:rsidP="00BA1C47">
      <w:pPr>
        <w:pStyle w:val="base1"/>
        <w:ind w:firstLine="0"/>
        <w:jc w:val="center"/>
        <w:rPr>
          <w:rFonts w:cs="Arial"/>
          <w:b/>
          <w:sz w:val="24"/>
          <w:szCs w:val="24"/>
          <w:lang w:val="it-IT"/>
        </w:rPr>
      </w:pPr>
      <w:r>
        <w:rPr>
          <w:rFonts w:cs="Arial"/>
          <w:b/>
          <w:sz w:val="24"/>
          <w:szCs w:val="24"/>
          <w:lang w:val="it-IT"/>
        </w:rPr>
        <w:t xml:space="preserve">SETTORE  </w:t>
      </w:r>
      <w:r w:rsidR="00D13E9C">
        <w:rPr>
          <w:rFonts w:cs="Arial"/>
          <w:b/>
          <w:sz w:val="24"/>
          <w:szCs w:val="24"/>
          <w:lang w:val="it-IT"/>
        </w:rPr>
        <w:t>LAVORI PUBBLICI E PATRIMONIO</w:t>
      </w:r>
    </w:p>
    <w:p w14:paraId="172DD7C6" w14:textId="64336401" w:rsidR="00BA1C47" w:rsidRPr="00BC6046" w:rsidRDefault="00BA1C47" w:rsidP="00D13E9C">
      <w:pPr>
        <w:rPr>
          <w:rFonts w:ascii="Arial" w:hAnsi="Arial" w:cs="Arial"/>
          <w:b/>
        </w:rPr>
      </w:pPr>
    </w:p>
    <w:p w14:paraId="54BB8B0A" w14:textId="77777777" w:rsidR="00B37582" w:rsidRDefault="00B37582">
      <w:pPr>
        <w:contextualSpacing/>
        <w:rPr>
          <w:rFonts w:ascii="Arial" w:hAnsi="Arial" w:cs="Arial"/>
        </w:rPr>
      </w:pPr>
    </w:p>
    <w:p w14:paraId="39D1DCBE" w14:textId="77777777" w:rsidR="00B37582" w:rsidRDefault="00B37582">
      <w:pPr>
        <w:contextualSpacing/>
        <w:rPr>
          <w:rFonts w:ascii="Arial" w:hAnsi="Arial" w:cs="Arial"/>
          <w:b/>
        </w:rPr>
      </w:pPr>
    </w:p>
    <w:p w14:paraId="430E4442" w14:textId="77777777" w:rsidR="00B37582" w:rsidRDefault="00B37582">
      <w:pPr>
        <w:contextualSpacing/>
        <w:rPr>
          <w:rFonts w:ascii="Arial" w:hAnsi="Arial" w:cs="Arial"/>
          <w:b/>
        </w:rPr>
      </w:pPr>
    </w:p>
    <w:p w14:paraId="3C1DD986" w14:textId="6058BF68" w:rsidR="00B37582" w:rsidRPr="00BA1C47" w:rsidRDefault="00DF1533" w:rsidP="00D13E9C">
      <w:pPr>
        <w:spacing w:line="0" w:lineRule="atLeast"/>
        <w:rPr>
          <w:rFonts w:ascii="Arial" w:hAnsi="Arial" w:cs="Arial"/>
          <w:sz w:val="24"/>
          <w:szCs w:val="24"/>
        </w:rPr>
      </w:pPr>
      <w:r>
        <w:rPr>
          <w:rFonts w:ascii="Arial" w:hAnsi="Arial" w:cs="Arial"/>
          <w:b/>
          <w:sz w:val="24"/>
          <w:szCs w:val="24"/>
        </w:rPr>
        <w:t xml:space="preserve">OGGETTO: </w:t>
      </w:r>
      <w:r w:rsidR="00D20781" w:rsidRPr="00D20781">
        <w:rPr>
          <w:rFonts w:ascii="Arial" w:hAnsi="Arial" w:cs="Arial"/>
          <w:sz w:val="24"/>
          <w:szCs w:val="24"/>
        </w:rPr>
        <w:t>LAVORI DI POSA E FORNITURA DI SEGNALETICA STRADALE VERTICALE</w:t>
      </w:r>
      <w:r w:rsidRPr="00BA1C47">
        <w:rPr>
          <w:rFonts w:ascii="Arial" w:hAnsi="Arial" w:cs="Arial"/>
          <w:sz w:val="24"/>
          <w:szCs w:val="24"/>
        </w:rPr>
        <w:t>.</w:t>
      </w:r>
      <w:r w:rsidR="003A299C">
        <w:rPr>
          <w:rFonts w:ascii="Arial" w:hAnsi="Arial" w:cs="Arial"/>
          <w:sz w:val="24"/>
          <w:szCs w:val="24"/>
        </w:rPr>
        <w:t xml:space="preserve"> – ANNO 202</w:t>
      </w:r>
      <w:r w:rsidR="00D13E9C">
        <w:rPr>
          <w:rFonts w:ascii="Arial" w:hAnsi="Arial" w:cs="Arial"/>
          <w:sz w:val="24"/>
          <w:szCs w:val="24"/>
        </w:rPr>
        <w:t>2</w:t>
      </w:r>
      <w:r w:rsidR="003A299C">
        <w:rPr>
          <w:rFonts w:ascii="Arial" w:hAnsi="Arial" w:cs="Arial"/>
          <w:sz w:val="24"/>
          <w:szCs w:val="24"/>
        </w:rPr>
        <w:t>.</w:t>
      </w:r>
      <w:r w:rsidR="00820685">
        <w:rPr>
          <w:rFonts w:ascii="Arial" w:hAnsi="Arial" w:cs="Arial"/>
          <w:sz w:val="24"/>
          <w:szCs w:val="24"/>
        </w:rPr>
        <w:t xml:space="preserve"> </w:t>
      </w:r>
      <w:r w:rsidR="00E4644A">
        <w:rPr>
          <w:rFonts w:ascii="Arial" w:hAnsi="Arial" w:cs="Arial"/>
          <w:sz w:val="24"/>
          <w:szCs w:val="24"/>
        </w:rPr>
        <w:t>AVVIO DEL PROCEDIMENTO DI APPALTO. IMPEGNO DI SPESA</w:t>
      </w:r>
    </w:p>
    <w:p w14:paraId="602EAC84" w14:textId="77777777" w:rsidR="00B37582" w:rsidRDefault="00B37582">
      <w:pPr>
        <w:contextualSpacing/>
        <w:rPr>
          <w:rFonts w:ascii="Arial" w:hAnsi="Arial" w:cs="Arial"/>
        </w:rPr>
      </w:pPr>
    </w:p>
    <w:p w14:paraId="799D1EB0" w14:textId="77777777" w:rsidR="00B37582" w:rsidRDefault="00B37582">
      <w:pPr>
        <w:contextualSpacing/>
        <w:rPr>
          <w:rFonts w:ascii="Arial" w:hAnsi="Arial" w:cs="Arial"/>
        </w:rPr>
      </w:pPr>
    </w:p>
    <w:p w14:paraId="1BAF44DE" w14:textId="77777777" w:rsidR="00B37582" w:rsidRDefault="00B37582">
      <w:pPr>
        <w:contextualSpacing/>
        <w:rPr>
          <w:rFonts w:ascii="Arial" w:hAnsi="Arial" w:cs="Arial"/>
        </w:rPr>
      </w:pPr>
    </w:p>
    <w:p w14:paraId="2DF1C71A" w14:textId="77777777" w:rsidR="00B37582" w:rsidRDefault="00DF1533">
      <w:pPr>
        <w:keepNext/>
        <w:jc w:val="center"/>
        <w:outlineLvl w:val="1"/>
        <w:rPr>
          <w:rFonts w:ascii="Arial" w:hAnsi="Arial"/>
          <w:b/>
          <w:sz w:val="24"/>
          <w:szCs w:val="24"/>
        </w:rPr>
      </w:pPr>
      <w:r>
        <w:rPr>
          <w:rFonts w:ascii="Arial" w:hAnsi="Arial"/>
          <w:b/>
          <w:sz w:val="24"/>
          <w:szCs w:val="24"/>
        </w:rPr>
        <w:t>IL DIRIGENTE RESPONSABILE DI SETTORE</w:t>
      </w:r>
    </w:p>
    <w:p w14:paraId="2F6FEABE" w14:textId="77777777" w:rsidR="00B37582" w:rsidRDefault="00B37582">
      <w:pPr>
        <w:jc w:val="center"/>
        <w:rPr>
          <w:rFonts w:ascii="Arial" w:hAnsi="Arial"/>
          <w:sz w:val="24"/>
          <w:szCs w:val="24"/>
        </w:rPr>
      </w:pPr>
    </w:p>
    <w:p w14:paraId="738D3AA2" w14:textId="77777777" w:rsidR="00B37582" w:rsidRDefault="00DF1533">
      <w:r>
        <w:rPr>
          <w:rFonts w:ascii="Arial" w:hAnsi="Arial" w:cs="Arial"/>
          <w:b/>
        </w:rPr>
        <w:t>Visti:</w:t>
      </w:r>
    </w:p>
    <w:p w14:paraId="36B8C0E9" w14:textId="77777777" w:rsidR="00227647" w:rsidRPr="00227647" w:rsidRDefault="00227647" w:rsidP="00227647">
      <w:pPr>
        <w:pStyle w:val="Paragrafoelenco"/>
        <w:numPr>
          <w:ilvl w:val="0"/>
          <w:numId w:val="18"/>
        </w:numPr>
        <w:contextualSpacing/>
        <w:jc w:val="both"/>
        <w:rPr>
          <w:bCs/>
          <w:sz w:val="20"/>
        </w:rPr>
      </w:pPr>
      <w:r w:rsidRPr="00227647">
        <w:rPr>
          <w:bCs/>
          <w:sz w:val="20"/>
        </w:rPr>
        <w:t>gli artt.107, comma 3, lett. b) e 109, comma 1 del D.Lgs. 18/08/2000, n. 267;</w:t>
      </w:r>
    </w:p>
    <w:p w14:paraId="68CD7C50" w14:textId="77777777" w:rsidR="00227647" w:rsidRPr="00227647" w:rsidRDefault="00227647" w:rsidP="00227647">
      <w:pPr>
        <w:pStyle w:val="Paragrafoelenco"/>
        <w:numPr>
          <w:ilvl w:val="0"/>
          <w:numId w:val="18"/>
        </w:numPr>
        <w:contextualSpacing/>
        <w:jc w:val="both"/>
        <w:rPr>
          <w:bCs/>
          <w:sz w:val="20"/>
        </w:rPr>
      </w:pPr>
      <w:r w:rsidRPr="00227647">
        <w:rPr>
          <w:bCs/>
          <w:sz w:val="20"/>
        </w:rPr>
        <w:t>gli art. 183, comma 1, 191 e 192 del D.Lgs. 18/08/2000, n. 267, in relazione agli aspetti contabili;</w:t>
      </w:r>
    </w:p>
    <w:p w14:paraId="2E2708D1" w14:textId="77777777" w:rsidR="00227647" w:rsidRPr="00227647" w:rsidRDefault="00227647" w:rsidP="00227647">
      <w:pPr>
        <w:pStyle w:val="Paragrafoelenco"/>
        <w:numPr>
          <w:ilvl w:val="0"/>
          <w:numId w:val="18"/>
        </w:numPr>
        <w:contextualSpacing/>
        <w:jc w:val="both"/>
        <w:rPr>
          <w:bCs/>
          <w:sz w:val="20"/>
        </w:rPr>
      </w:pPr>
      <w:r w:rsidRPr="00227647">
        <w:rPr>
          <w:bCs/>
          <w:sz w:val="20"/>
        </w:rPr>
        <w:t xml:space="preserve">l’art. 1, comma 2, lett. b) e comma 3 del D.L. 16/07/2020 n. 76, convertito, con modificazioni, nella Legge 11/09/2020, n. 120; </w:t>
      </w:r>
    </w:p>
    <w:p w14:paraId="2A8A0827" w14:textId="77777777" w:rsidR="00227647" w:rsidRPr="00227647" w:rsidRDefault="00227647" w:rsidP="00227647">
      <w:pPr>
        <w:pStyle w:val="Paragrafoelenco"/>
        <w:numPr>
          <w:ilvl w:val="0"/>
          <w:numId w:val="18"/>
        </w:numPr>
        <w:contextualSpacing/>
        <w:jc w:val="both"/>
        <w:rPr>
          <w:bCs/>
          <w:sz w:val="20"/>
        </w:rPr>
      </w:pPr>
      <w:r w:rsidRPr="00227647">
        <w:rPr>
          <w:bCs/>
          <w:sz w:val="20"/>
        </w:rPr>
        <w:t xml:space="preserve">l’art. 51, comma 1, punto 2.2 del D.L. 31.05.2021, n. 77, convertito, con modificazioni, nella Legge 29/07/2021, n. 108; </w:t>
      </w:r>
    </w:p>
    <w:p w14:paraId="0C678BED" w14:textId="77777777" w:rsidR="00227647" w:rsidRPr="00227647" w:rsidRDefault="00227647" w:rsidP="00227647">
      <w:pPr>
        <w:pStyle w:val="Paragrafoelenco"/>
        <w:numPr>
          <w:ilvl w:val="0"/>
          <w:numId w:val="18"/>
        </w:numPr>
        <w:contextualSpacing/>
        <w:jc w:val="both"/>
        <w:rPr>
          <w:bCs/>
          <w:sz w:val="20"/>
        </w:rPr>
      </w:pPr>
      <w:r w:rsidRPr="00227647">
        <w:rPr>
          <w:bCs/>
          <w:sz w:val="20"/>
        </w:rPr>
        <w:t xml:space="preserve">gli articoli 23, commi 7 e 8, 24, 26, 30, comma 1, 32, comma 2, 34, 36, comma 2, comma 9 bis, 37, comma 4, 42 , 53 e 63 del </w:t>
      </w:r>
      <w:proofErr w:type="spellStart"/>
      <w:r w:rsidRPr="00227647">
        <w:rPr>
          <w:bCs/>
          <w:sz w:val="20"/>
        </w:rPr>
        <w:t>d.Lgs.</w:t>
      </w:r>
      <w:proofErr w:type="spellEnd"/>
      <w:r w:rsidRPr="00227647">
        <w:rPr>
          <w:bCs/>
          <w:sz w:val="20"/>
        </w:rPr>
        <w:t xml:space="preserve"> 18/04/2016, n. 50, e </w:t>
      </w:r>
      <w:proofErr w:type="spellStart"/>
      <w:r w:rsidRPr="00227647">
        <w:rPr>
          <w:bCs/>
          <w:sz w:val="20"/>
        </w:rPr>
        <w:t>s.m.i.</w:t>
      </w:r>
      <w:proofErr w:type="spellEnd"/>
      <w:r w:rsidRPr="00227647">
        <w:rPr>
          <w:bCs/>
          <w:sz w:val="20"/>
        </w:rPr>
        <w:t xml:space="preserve">, in relazione agli aspetti progettuali e </w:t>
      </w:r>
      <w:proofErr w:type="spellStart"/>
      <w:r w:rsidRPr="00227647">
        <w:rPr>
          <w:bCs/>
          <w:sz w:val="20"/>
        </w:rPr>
        <w:t>appaltistici</w:t>
      </w:r>
      <w:proofErr w:type="spellEnd"/>
      <w:r w:rsidRPr="00227647">
        <w:rPr>
          <w:bCs/>
          <w:sz w:val="20"/>
        </w:rPr>
        <w:t xml:space="preserve">; </w:t>
      </w:r>
    </w:p>
    <w:p w14:paraId="7B6FA8B5" w14:textId="77777777" w:rsidR="00227647" w:rsidRPr="00227647" w:rsidRDefault="00227647" w:rsidP="00227647">
      <w:pPr>
        <w:numPr>
          <w:ilvl w:val="0"/>
          <w:numId w:val="18"/>
        </w:numPr>
        <w:tabs>
          <w:tab w:val="left" w:pos="567"/>
          <w:tab w:val="left" w:pos="720"/>
        </w:tabs>
        <w:contextualSpacing/>
        <w:rPr>
          <w:rFonts w:ascii="Arial" w:hAnsi="Arial" w:cs="Arial"/>
          <w:bCs/>
        </w:rPr>
      </w:pPr>
      <w:r w:rsidRPr="00227647">
        <w:rPr>
          <w:rFonts w:ascii="Arial" w:hAnsi="Arial" w:cs="Arial"/>
          <w:bCs/>
        </w:rPr>
        <w:t xml:space="preserve">  l’art. 1, comma 9, </w:t>
      </w:r>
      <w:proofErr w:type="spellStart"/>
      <w:r w:rsidRPr="00227647">
        <w:rPr>
          <w:rFonts w:ascii="Arial" w:hAnsi="Arial" w:cs="Arial"/>
          <w:bCs/>
        </w:rPr>
        <w:t>lett</w:t>
      </w:r>
      <w:proofErr w:type="spellEnd"/>
      <w:r w:rsidRPr="00227647">
        <w:rPr>
          <w:rFonts w:ascii="Arial" w:hAnsi="Arial" w:cs="Arial"/>
          <w:bCs/>
        </w:rPr>
        <w:t xml:space="preserve"> e) della legge 06/11/2012, n.190 e art. 10 comma 2, lett. a) del P.T.P.C.; </w:t>
      </w:r>
    </w:p>
    <w:p w14:paraId="05A82F01" w14:textId="6EBEE491" w:rsidR="00227647" w:rsidRPr="00227647" w:rsidRDefault="00227647" w:rsidP="00227647">
      <w:pPr>
        <w:numPr>
          <w:ilvl w:val="0"/>
          <w:numId w:val="18"/>
        </w:numPr>
        <w:tabs>
          <w:tab w:val="left" w:pos="567"/>
          <w:tab w:val="left" w:pos="720"/>
        </w:tabs>
        <w:contextualSpacing/>
        <w:rPr>
          <w:rFonts w:ascii="Arial" w:hAnsi="Arial" w:cs="Arial"/>
          <w:bCs/>
        </w:rPr>
      </w:pPr>
      <w:r w:rsidRPr="00227647">
        <w:rPr>
          <w:rFonts w:ascii="Arial" w:hAnsi="Arial" w:cs="Arial"/>
          <w:bCs/>
        </w:rPr>
        <w:t xml:space="preserve">  le Linee Guida ANAC, n. 4 recanti: “Procedure per l’affidamento dei contratti pubblici di importo inferiore alle soglie di rilevanza comunitaria, indagini di mercato e formazione e gestione degli elenchi di operatori economici” approvate deliberazione n. 1097 del 26/10/2016 e aggiornate con deliberazioni dell’Autorità 01/03/2018, n. 206 e 10/07/2019 n. 636, per le parti applicabili;</w:t>
      </w:r>
    </w:p>
    <w:p w14:paraId="201FE799" w14:textId="77777777" w:rsidR="00227647" w:rsidRPr="00227647" w:rsidRDefault="00227647" w:rsidP="00227647">
      <w:pPr>
        <w:numPr>
          <w:ilvl w:val="0"/>
          <w:numId w:val="18"/>
        </w:numPr>
        <w:tabs>
          <w:tab w:val="left" w:pos="567"/>
          <w:tab w:val="left" w:pos="720"/>
        </w:tabs>
        <w:contextualSpacing/>
        <w:rPr>
          <w:rFonts w:ascii="Arial" w:hAnsi="Arial" w:cs="Arial"/>
          <w:bCs/>
        </w:rPr>
      </w:pPr>
      <w:r w:rsidRPr="00227647">
        <w:rPr>
          <w:rFonts w:ascii="Arial" w:hAnsi="Arial" w:cs="Arial"/>
          <w:bCs/>
        </w:rPr>
        <w:t xml:space="preserve">   l’art. 38 dello Statuto del Comune di Gallarate;</w:t>
      </w:r>
    </w:p>
    <w:p w14:paraId="03048ED6" w14:textId="77777777" w:rsidR="00227647" w:rsidRPr="00227647" w:rsidRDefault="00227647" w:rsidP="00227647">
      <w:pPr>
        <w:numPr>
          <w:ilvl w:val="0"/>
          <w:numId w:val="18"/>
        </w:numPr>
        <w:tabs>
          <w:tab w:val="left" w:pos="567"/>
          <w:tab w:val="left" w:pos="720"/>
        </w:tabs>
        <w:contextualSpacing/>
        <w:rPr>
          <w:rFonts w:ascii="Arial" w:hAnsi="Arial" w:cs="Arial"/>
          <w:bCs/>
        </w:rPr>
      </w:pPr>
      <w:r w:rsidRPr="00227647">
        <w:rPr>
          <w:rFonts w:ascii="Arial" w:hAnsi="Arial" w:cs="Arial"/>
          <w:bCs/>
        </w:rPr>
        <w:t xml:space="preserve">   l’articolo 8 del Regolamento per la disciplina degli Uffici e dei servizi, approvato con deliberazione di Giunta Comunale 20/12/2016, n. 169;</w:t>
      </w:r>
    </w:p>
    <w:p w14:paraId="36062BC5" w14:textId="77777777" w:rsidR="00B37582" w:rsidRDefault="00B37582">
      <w:pPr>
        <w:pStyle w:val="Paragrafoelenco"/>
        <w:ind w:left="1428"/>
        <w:jc w:val="both"/>
        <w:rPr>
          <w:sz w:val="20"/>
        </w:rPr>
      </w:pPr>
    </w:p>
    <w:p w14:paraId="25C9EB87" w14:textId="77777777" w:rsidR="00B37582" w:rsidRDefault="00DF1533">
      <w:pPr>
        <w:spacing w:after="107" w:line="252" w:lineRule="auto"/>
        <w:ind w:left="-5" w:right="4214" w:hanging="10"/>
      </w:pPr>
      <w:r>
        <w:rPr>
          <w:rFonts w:ascii="Arial" w:hAnsi="Arial" w:cs="Arial"/>
          <w:b/>
        </w:rPr>
        <w:t xml:space="preserve">Richiamati:  </w:t>
      </w:r>
    </w:p>
    <w:p w14:paraId="6D7B663E" w14:textId="747B2304" w:rsidR="00227647" w:rsidRDefault="00227647" w:rsidP="008A6871">
      <w:pPr>
        <w:pStyle w:val="Paragrafoelenco"/>
        <w:numPr>
          <w:ilvl w:val="0"/>
          <w:numId w:val="7"/>
        </w:numPr>
        <w:jc w:val="both"/>
        <w:rPr>
          <w:sz w:val="20"/>
        </w:rPr>
      </w:pPr>
      <w:r w:rsidRPr="00227647">
        <w:rPr>
          <w:sz w:val="20"/>
        </w:rPr>
        <w:t>la deliberazione del Consiglio Comunale 21/12/2020, n. 40, efficace ai sensi di legge, con la quale è stato approvato il Documento Unico di Programmazione (D.U.P.) e il Bilancio di Previsione degli esercizi 2021, 2022, 2023, che tra i suoi allegati ricomprende, ai sensi dell’art. 21, comma 3 del D.Lgs. 18/04/2016, n. 50, il Programma dei lavori pubblici riguardante il triennio 2021-2022-2023;</w:t>
      </w:r>
    </w:p>
    <w:p w14:paraId="6E019266" w14:textId="77777777" w:rsidR="00804AF7" w:rsidRPr="00804AF7" w:rsidRDefault="00804AF7" w:rsidP="00804AF7">
      <w:pPr>
        <w:numPr>
          <w:ilvl w:val="0"/>
          <w:numId w:val="7"/>
        </w:numPr>
        <w:tabs>
          <w:tab w:val="left" w:pos="426"/>
        </w:tabs>
        <w:contextualSpacing/>
        <w:rPr>
          <w:rFonts w:ascii="Arial" w:hAnsi="Arial" w:cs="Arial"/>
        </w:rPr>
      </w:pPr>
      <w:r w:rsidRPr="00804AF7">
        <w:rPr>
          <w:rFonts w:ascii="Arial" w:hAnsi="Arial" w:cs="Arial"/>
        </w:rPr>
        <w:t>la deliberazione di Giunta Comunale 27/01/2021 n.9, efficace ai sensi di Legge, con la quale è stato approvato il Piano Esecutivo di Gestione 2021-2023, il Piano integrato della Performance e l’assegnazione degli obiettivi e comportamenti organizzativi 2021;</w:t>
      </w:r>
    </w:p>
    <w:p w14:paraId="4D5A33B6" w14:textId="77777777" w:rsidR="00804AF7" w:rsidRPr="00804AF7" w:rsidRDefault="00804AF7" w:rsidP="00804AF7">
      <w:pPr>
        <w:numPr>
          <w:ilvl w:val="0"/>
          <w:numId w:val="7"/>
        </w:numPr>
        <w:tabs>
          <w:tab w:val="left" w:pos="426"/>
        </w:tabs>
        <w:contextualSpacing/>
        <w:rPr>
          <w:rFonts w:ascii="Arial" w:hAnsi="Arial" w:cs="Arial"/>
        </w:rPr>
      </w:pPr>
      <w:r w:rsidRPr="00804AF7">
        <w:rPr>
          <w:rFonts w:ascii="Arial" w:hAnsi="Arial" w:cs="Arial"/>
        </w:rPr>
        <w:t>la ricognizione della verifica degli equilibri e assestamento generale di bilancio 2021-2023 di cui alla deliberazione del Consiglio Comunale 14/05/2021, n. 61, efficace ai sensi di legge;</w:t>
      </w:r>
    </w:p>
    <w:p w14:paraId="187EB33F" w14:textId="77777777" w:rsidR="00804AF7" w:rsidRDefault="00804AF7" w:rsidP="00804AF7">
      <w:pPr>
        <w:pStyle w:val="Paragrafoelenco"/>
        <w:numPr>
          <w:ilvl w:val="0"/>
          <w:numId w:val="7"/>
        </w:numPr>
        <w:contextualSpacing/>
        <w:jc w:val="both"/>
        <w:rPr>
          <w:sz w:val="20"/>
        </w:rPr>
      </w:pPr>
      <w:r w:rsidRPr="00804AF7">
        <w:rPr>
          <w:sz w:val="20"/>
        </w:rPr>
        <w:t>la deliberazione del Consiglio comunale 24/10/2016, n. 67, efficace ai sensi di legge, a oggetto “</w:t>
      </w:r>
      <w:r w:rsidRPr="00804AF7">
        <w:rPr>
          <w:i/>
          <w:iCs/>
          <w:sz w:val="20"/>
        </w:rPr>
        <w:t>Linee programmatiche relative alle azioni ed ai progetti da realizzare nel corso del mandato. Approvazione</w:t>
      </w:r>
      <w:r w:rsidRPr="00804AF7">
        <w:rPr>
          <w:sz w:val="20"/>
        </w:rPr>
        <w:t>”;</w:t>
      </w:r>
    </w:p>
    <w:p w14:paraId="32FB4E8F" w14:textId="77777777" w:rsidR="00804AF7" w:rsidRPr="00227647" w:rsidRDefault="00804AF7" w:rsidP="00804AF7">
      <w:pPr>
        <w:pStyle w:val="Paragrafoelenco"/>
        <w:ind w:left="720"/>
        <w:jc w:val="both"/>
        <w:rPr>
          <w:sz w:val="20"/>
        </w:rPr>
      </w:pPr>
    </w:p>
    <w:p w14:paraId="0BFE2290" w14:textId="291A354C" w:rsidR="008A6871" w:rsidRDefault="008A6871" w:rsidP="008A6871">
      <w:pPr>
        <w:pStyle w:val="Paragrafoelenco"/>
        <w:numPr>
          <w:ilvl w:val="0"/>
          <w:numId w:val="7"/>
        </w:numPr>
        <w:jc w:val="both"/>
      </w:pPr>
      <w:r w:rsidRPr="00227647">
        <w:rPr>
          <w:sz w:val="20"/>
        </w:rPr>
        <w:lastRenderedPageBreak/>
        <w:t xml:space="preserve">la proposta di determinazione dirigenziale in data </w:t>
      </w:r>
      <w:r w:rsidR="005261C6" w:rsidRPr="00227647">
        <w:rPr>
          <w:sz w:val="20"/>
        </w:rPr>
        <w:t>__________</w:t>
      </w:r>
      <w:r w:rsidRPr="00227647">
        <w:rPr>
          <w:sz w:val="20"/>
        </w:rPr>
        <w:t xml:space="preserve"> recante il numero </w:t>
      </w:r>
      <w:r w:rsidR="005261C6" w:rsidRPr="00227647">
        <w:rPr>
          <w:sz w:val="20"/>
        </w:rPr>
        <w:t>_______</w:t>
      </w:r>
      <w:r w:rsidRPr="00227647">
        <w:rPr>
          <w:sz w:val="20"/>
        </w:rPr>
        <w:t xml:space="preserve">, predisposta dal responsabile del procedimento cui essa afferisce, e dallo stesso inserita nel flusso documentale dell’Ente, la qual cosa ne sancisce la provenienza, la titolarità, la sottoscrizione e </w:t>
      </w:r>
      <w:r w:rsidR="00A65381" w:rsidRPr="00227647">
        <w:rPr>
          <w:sz w:val="20"/>
        </w:rPr>
        <w:t>l</w:t>
      </w:r>
      <w:r w:rsidRPr="00227647">
        <w:rPr>
          <w:sz w:val="20"/>
        </w:rPr>
        <w:t>a regolarità tecnica nei termini indicati dall’art.  147-</w:t>
      </w:r>
      <w:r w:rsidRPr="00227647">
        <w:rPr>
          <w:i/>
          <w:sz w:val="20"/>
        </w:rPr>
        <w:t>bis</w:t>
      </w:r>
      <w:r w:rsidRPr="00227647">
        <w:rPr>
          <w:sz w:val="20"/>
        </w:rPr>
        <w:t>, comma 1 del D.Lgs. 18/8/2000, n. 267, introdotto dal D.L. 10/10/2012, n. 174, convertito nella legge 7/12/2012, n.213, i cui contenuti si intendono a tutti gli effetti trasfusi nel presente provvedimento</w:t>
      </w:r>
      <w:r w:rsidR="00E46351" w:rsidRPr="00227647">
        <w:rPr>
          <w:sz w:val="20"/>
        </w:rPr>
        <w:t>;</w:t>
      </w:r>
    </w:p>
    <w:p w14:paraId="2F80A60F" w14:textId="77777777" w:rsidR="00B37582" w:rsidRDefault="00B37582">
      <w:pPr>
        <w:pStyle w:val="Paragrafoelenco"/>
        <w:ind w:left="1428"/>
        <w:jc w:val="both"/>
        <w:rPr>
          <w:sz w:val="20"/>
        </w:rPr>
      </w:pPr>
    </w:p>
    <w:p w14:paraId="756F6CAE" w14:textId="77777777" w:rsidR="00B37582" w:rsidRDefault="00DF1533">
      <w:pPr>
        <w:spacing w:after="160" w:line="252" w:lineRule="auto"/>
        <w:rPr>
          <w:rFonts w:ascii="Arial" w:hAnsi="Arial" w:cs="Arial"/>
        </w:rPr>
      </w:pPr>
      <w:r>
        <w:rPr>
          <w:rFonts w:ascii="Arial" w:eastAsia="Calibri" w:hAnsi="Arial" w:cs="Arial"/>
          <w:b/>
          <w:lang w:eastAsia="en-US"/>
        </w:rPr>
        <w:t>Premesso che:</w:t>
      </w:r>
    </w:p>
    <w:p w14:paraId="4EA94A3E" w14:textId="65235D02" w:rsidR="00D20781" w:rsidRPr="00D20781" w:rsidRDefault="00D20781" w:rsidP="00D20781">
      <w:pPr>
        <w:numPr>
          <w:ilvl w:val="0"/>
          <w:numId w:val="14"/>
        </w:numPr>
        <w:rPr>
          <w:rFonts w:ascii="Arial" w:hAnsi="Arial" w:cs="Arial"/>
        </w:rPr>
      </w:pPr>
      <w:r w:rsidRPr="00D20781">
        <w:rPr>
          <w:rFonts w:ascii="Arial" w:hAnsi="Arial" w:cs="Arial"/>
        </w:rPr>
        <w:t xml:space="preserve">i fondi a disposizione dell’attuale appalto (anno </w:t>
      </w:r>
      <w:r w:rsidR="00A65381">
        <w:rPr>
          <w:rFonts w:ascii="Arial" w:hAnsi="Arial" w:cs="Arial"/>
        </w:rPr>
        <w:t>2020</w:t>
      </w:r>
      <w:r w:rsidRPr="00D20781">
        <w:rPr>
          <w:rFonts w:ascii="Arial" w:hAnsi="Arial" w:cs="Arial"/>
        </w:rPr>
        <w:t xml:space="preserve">) per i lavori di posa e fornitura di segnaletica stradale verticale, sono esauriti e </w:t>
      </w:r>
      <w:r w:rsidR="00E46351">
        <w:rPr>
          <w:rFonts w:ascii="Arial" w:hAnsi="Arial" w:cs="Arial"/>
        </w:rPr>
        <w:t>si rende necessario</w:t>
      </w:r>
      <w:r w:rsidRPr="00D20781">
        <w:rPr>
          <w:rFonts w:ascii="Arial" w:hAnsi="Arial" w:cs="Arial"/>
        </w:rPr>
        <w:t xml:space="preserve"> </w:t>
      </w:r>
      <w:r w:rsidR="00E46351">
        <w:rPr>
          <w:rFonts w:ascii="Arial" w:hAnsi="Arial" w:cs="Arial"/>
        </w:rPr>
        <w:t>p</w:t>
      </w:r>
      <w:r w:rsidRPr="00D20781">
        <w:rPr>
          <w:rFonts w:ascii="Arial" w:hAnsi="Arial" w:cs="Arial"/>
        </w:rPr>
        <w:t xml:space="preserve">rovvedere al ripristino dei pali e cartelli danneggiati a seguito di sinistri o per </w:t>
      </w:r>
      <w:r w:rsidR="005261C6">
        <w:rPr>
          <w:rFonts w:ascii="Arial" w:hAnsi="Arial" w:cs="Arial"/>
        </w:rPr>
        <w:t xml:space="preserve">la </w:t>
      </w:r>
      <w:r w:rsidRPr="00D20781">
        <w:rPr>
          <w:rFonts w:ascii="Arial" w:hAnsi="Arial" w:cs="Arial"/>
        </w:rPr>
        <w:t>normale usura, al posizionamento di nuovi impianti in attuazione di Ordinanze sulla viabilità, per l’adeguamento alle recenti norme del Codice della Strada e per migliorare la sicurezza stradale con puntuali interventi in fase di progettazione;</w:t>
      </w:r>
    </w:p>
    <w:p w14:paraId="4F921041" w14:textId="77777777" w:rsidR="00B37582" w:rsidRDefault="00DF1533" w:rsidP="00E46351">
      <w:pPr>
        <w:tabs>
          <w:tab w:val="left" w:pos="567"/>
          <w:tab w:val="left" w:pos="720"/>
        </w:tabs>
        <w:spacing w:before="120"/>
      </w:pPr>
      <w:r w:rsidRPr="00D20781">
        <w:rPr>
          <w:rFonts w:ascii="Arial" w:hAnsi="Arial" w:cs="Arial"/>
          <w:b/>
        </w:rPr>
        <w:t>Considerato che:</w:t>
      </w:r>
    </w:p>
    <w:p w14:paraId="4D70242E" w14:textId="77777777" w:rsidR="00E66B93" w:rsidRDefault="00E66B93" w:rsidP="00E66B93">
      <w:pPr>
        <w:pStyle w:val="Paragrafoelenco"/>
        <w:autoSpaceDE w:val="0"/>
        <w:autoSpaceDN w:val="0"/>
        <w:adjustRightInd w:val="0"/>
        <w:ind w:left="714"/>
        <w:jc w:val="both"/>
        <w:rPr>
          <w:sz w:val="20"/>
        </w:rPr>
      </w:pPr>
    </w:p>
    <w:p w14:paraId="0ADFCE77" w14:textId="64017513" w:rsidR="00B37582" w:rsidRPr="008A6871" w:rsidRDefault="001B3606" w:rsidP="00477FC4">
      <w:pPr>
        <w:pStyle w:val="Paragrafoelenco"/>
        <w:numPr>
          <w:ilvl w:val="0"/>
          <w:numId w:val="2"/>
        </w:numPr>
        <w:autoSpaceDE w:val="0"/>
        <w:autoSpaceDN w:val="0"/>
        <w:adjustRightInd w:val="0"/>
        <w:ind w:left="714" w:hanging="357"/>
        <w:jc w:val="both"/>
        <w:rPr>
          <w:sz w:val="20"/>
        </w:rPr>
      </w:pPr>
      <w:r>
        <w:rPr>
          <w:sz w:val="20"/>
        </w:rPr>
        <w:t>verranno</w:t>
      </w:r>
      <w:r w:rsidR="008A6871" w:rsidRPr="008A6871">
        <w:rPr>
          <w:sz w:val="20"/>
        </w:rPr>
        <w:t xml:space="preserve"> predispos</w:t>
      </w:r>
      <w:r>
        <w:rPr>
          <w:sz w:val="20"/>
        </w:rPr>
        <w:t>ti</w:t>
      </w:r>
      <w:r w:rsidR="008A6871" w:rsidRPr="008A6871">
        <w:rPr>
          <w:sz w:val="20"/>
        </w:rPr>
        <w:t xml:space="preserve"> </w:t>
      </w:r>
      <w:r w:rsidR="005261C6">
        <w:rPr>
          <w:sz w:val="20"/>
        </w:rPr>
        <w:t>gl</w:t>
      </w:r>
      <w:r w:rsidR="008A6871" w:rsidRPr="008A6871">
        <w:rPr>
          <w:sz w:val="20"/>
        </w:rPr>
        <w:t>i elaborati di gara,</w:t>
      </w:r>
      <w:r w:rsidR="008A6871">
        <w:rPr>
          <w:sz w:val="20"/>
        </w:rPr>
        <w:t xml:space="preserve"> </w:t>
      </w:r>
      <w:r w:rsidR="008A6871" w:rsidRPr="008A6871">
        <w:rPr>
          <w:sz w:val="20"/>
        </w:rPr>
        <w:t xml:space="preserve">afferenti </w:t>
      </w:r>
      <w:r w:rsidR="00A65381" w:rsidRPr="008A6871">
        <w:rPr>
          <w:sz w:val="20"/>
        </w:rPr>
        <w:t>alle</w:t>
      </w:r>
      <w:r w:rsidR="008A6871" w:rsidRPr="008A6871">
        <w:rPr>
          <w:sz w:val="20"/>
        </w:rPr>
        <w:t xml:space="preserve"> lavorazioni in oggetto, per lavori di importo inferiore a </w:t>
      </w:r>
      <w:proofErr w:type="gramStart"/>
      <w:r w:rsidR="008A6871" w:rsidRPr="008A6871">
        <w:rPr>
          <w:sz w:val="20"/>
        </w:rPr>
        <w:t>Euro</w:t>
      </w:r>
      <w:proofErr w:type="gramEnd"/>
      <w:r w:rsidR="008A6871" w:rsidRPr="008A6871">
        <w:rPr>
          <w:sz w:val="20"/>
        </w:rPr>
        <w:t xml:space="preserve"> </w:t>
      </w:r>
      <w:r w:rsidR="00D20781">
        <w:rPr>
          <w:sz w:val="20"/>
        </w:rPr>
        <w:t>40</w:t>
      </w:r>
      <w:r w:rsidR="008A6871" w:rsidRPr="008A6871">
        <w:rPr>
          <w:sz w:val="20"/>
        </w:rPr>
        <w:t xml:space="preserve">.000,00, soglia prevista per l’applicazione della procedura di cui all’art. 36, comma 2, lett. </w:t>
      </w:r>
      <w:r w:rsidR="00D20781">
        <w:rPr>
          <w:sz w:val="20"/>
        </w:rPr>
        <w:t>a</w:t>
      </w:r>
      <w:r w:rsidR="008A6871" w:rsidRPr="008A6871">
        <w:rPr>
          <w:sz w:val="20"/>
        </w:rPr>
        <w:t xml:space="preserve">) del D.Lgs. 18/04/2016, n. 50 e </w:t>
      </w:r>
      <w:proofErr w:type="spellStart"/>
      <w:r w:rsidR="008A6871" w:rsidRPr="008A6871">
        <w:rPr>
          <w:sz w:val="20"/>
        </w:rPr>
        <w:t>s.m.i.</w:t>
      </w:r>
      <w:proofErr w:type="spellEnd"/>
      <w:r w:rsidR="008A6871" w:rsidRPr="008A6871">
        <w:rPr>
          <w:sz w:val="20"/>
        </w:rPr>
        <w:t>;</w:t>
      </w:r>
      <w:r w:rsidR="00DF1533" w:rsidRPr="008A6871">
        <w:rPr>
          <w:sz w:val="20"/>
        </w:rPr>
        <w:t xml:space="preserve"> </w:t>
      </w:r>
    </w:p>
    <w:p w14:paraId="47005E2E" w14:textId="08CF22A0" w:rsidR="00B37582" w:rsidRPr="00055188" w:rsidRDefault="00DF1533" w:rsidP="008A6871">
      <w:pPr>
        <w:pStyle w:val="Paragrafoelenco"/>
        <w:numPr>
          <w:ilvl w:val="0"/>
          <w:numId w:val="2"/>
        </w:numPr>
        <w:ind w:left="714" w:hanging="357"/>
        <w:jc w:val="both"/>
        <w:rPr>
          <w:color w:val="auto"/>
        </w:rPr>
      </w:pPr>
      <w:r w:rsidRPr="00055188">
        <w:rPr>
          <w:color w:val="auto"/>
          <w:sz w:val="20"/>
        </w:rPr>
        <w:t>s</w:t>
      </w:r>
      <w:bookmarkStart w:id="1" w:name="__DdeLink__1721_2271689640"/>
      <w:r w:rsidRPr="00055188">
        <w:rPr>
          <w:color w:val="auto"/>
          <w:sz w:val="20"/>
        </w:rPr>
        <w:t xml:space="preserve">econdo le vigenti disposizioni normative in materia (in particolare, art. 24, lett. A e 113 del D.Lgs. 18/04/2016, n. 50 e </w:t>
      </w:r>
      <w:proofErr w:type="spellStart"/>
      <w:r w:rsidRPr="00055188">
        <w:rPr>
          <w:color w:val="auto"/>
          <w:sz w:val="20"/>
        </w:rPr>
        <w:t>s.m.i.</w:t>
      </w:r>
      <w:proofErr w:type="spellEnd"/>
      <w:r w:rsidRPr="00055188">
        <w:rPr>
          <w:color w:val="auto"/>
          <w:sz w:val="20"/>
        </w:rPr>
        <w:t>) e previsto dall’art. 3 del “</w:t>
      </w:r>
      <w:r w:rsidRPr="00055188">
        <w:rPr>
          <w:i/>
          <w:color w:val="auto"/>
          <w:sz w:val="20"/>
        </w:rPr>
        <w:t>Regolamento per la distribuzione degli incentivi</w:t>
      </w:r>
      <w:r w:rsidRPr="00055188">
        <w:rPr>
          <w:color w:val="auto"/>
          <w:sz w:val="20"/>
        </w:rPr>
        <w:t xml:space="preserve">”, approvato con deliberazione della Giunta Comunale 20/12/2017, n.156, efficace ai sensi di legge, </w:t>
      </w:r>
      <w:r w:rsidR="001B3606">
        <w:rPr>
          <w:color w:val="auto"/>
          <w:sz w:val="20"/>
        </w:rPr>
        <w:t xml:space="preserve"> </w:t>
      </w:r>
      <w:r w:rsidR="001B3606" w:rsidRPr="00055188">
        <w:rPr>
          <w:color w:val="auto"/>
          <w:sz w:val="20"/>
        </w:rPr>
        <w:t xml:space="preserve">si procederà alla nomina di specifico nucleo tecnico, individuato tra il personale del Settore LL.PP. e Patrimonio dell’Ente, incaricato dello svolgimento delle lavorazioni </w:t>
      </w:r>
      <w:r w:rsidR="001B3606" w:rsidRPr="00055188">
        <w:rPr>
          <w:i/>
          <w:color w:val="auto"/>
          <w:sz w:val="20"/>
        </w:rPr>
        <w:t xml:space="preserve">de </w:t>
      </w:r>
      <w:proofErr w:type="spellStart"/>
      <w:r w:rsidR="001B3606" w:rsidRPr="00055188">
        <w:rPr>
          <w:i/>
          <w:color w:val="auto"/>
          <w:sz w:val="20"/>
        </w:rPr>
        <w:t>quibus</w:t>
      </w:r>
      <w:proofErr w:type="spellEnd"/>
      <w:r w:rsidR="001B3606">
        <w:rPr>
          <w:i/>
          <w:color w:val="auto"/>
          <w:sz w:val="20"/>
        </w:rPr>
        <w:t xml:space="preserve">, </w:t>
      </w:r>
      <w:r w:rsidRPr="00055188">
        <w:rPr>
          <w:color w:val="auto"/>
          <w:sz w:val="20"/>
        </w:rPr>
        <w:t xml:space="preserve">con </w:t>
      </w:r>
      <w:r w:rsidR="00055188" w:rsidRPr="00055188">
        <w:rPr>
          <w:color w:val="auto"/>
          <w:sz w:val="20"/>
        </w:rPr>
        <w:t xml:space="preserve">successivo </w:t>
      </w:r>
      <w:r w:rsidRPr="00055188">
        <w:rPr>
          <w:color w:val="auto"/>
          <w:sz w:val="20"/>
        </w:rPr>
        <w:t>atto dirigenziale</w:t>
      </w:r>
      <w:r w:rsidR="001B3606">
        <w:rPr>
          <w:color w:val="auto"/>
          <w:sz w:val="20"/>
        </w:rPr>
        <w:t>;</w:t>
      </w:r>
      <w:r w:rsidRPr="00055188">
        <w:rPr>
          <w:color w:val="auto"/>
          <w:sz w:val="20"/>
        </w:rPr>
        <w:t xml:space="preserve"> </w:t>
      </w:r>
      <w:bookmarkEnd w:id="1"/>
    </w:p>
    <w:p w14:paraId="7429F854" w14:textId="51B58138" w:rsidR="00B37582" w:rsidRPr="002855CF" w:rsidRDefault="00DF1533">
      <w:pPr>
        <w:pStyle w:val="Paragrafoelenco"/>
        <w:numPr>
          <w:ilvl w:val="0"/>
          <w:numId w:val="2"/>
        </w:numPr>
        <w:spacing w:before="120"/>
        <w:contextualSpacing/>
        <w:jc w:val="both"/>
      </w:pPr>
      <w:r w:rsidRPr="002855CF">
        <w:rPr>
          <w:sz w:val="20"/>
        </w:rPr>
        <w:t xml:space="preserve">si rende pertanto indispensabile effettuare un apposito appalto finalizzato all’esecuzione delle operatività sopra sommariamente descritte </w:t>
      </w:r>
      <w:r w:rsidR="005261C6">
        <w:rPr>
          <w:sz w:val="20"/>
        </w:rPr>
        <w:t xml:space="preserve">che saranno </w:t>
      </w:r>
      <w:r w:rsidRPr="002855CF">
        <w:rPr>
          <w:sz w:val="20"/>
        </w:rPr>
        <w:t>indicate in dettaglio negli elaborati di progetto;</w:t>
      </w:r>
    </w:p>
    <w:p w14:paraId="0928A4C2" w14:textId="00AE976E" w:rsidR="00B37582" w:rsidRPr="00BA1C47" w:rsidRDefault="00DF1533">
      <w:pPr>
        <w:pStyle w:val="Paragrafoelenco"/>
        <w:numPr>
          <w:ilvl w:val="0"/>
          <w:numId w:val="2"/>
        </w:numPr>
        <w:jc w:val="both"/>
      </w:pPr>
      <w:r w:rsidRPr="00BA1C47">
        <w:rPr>
          <w:sz w:val="20"/>
        </w:rPr>
        <w:t xml:space="preserve">l’intervento in oggetto, </w:t>
      </w:r>
      <w:r w:rsidR="005261C6">
        <w:rPr>
          <w:sz w:val="20"/>
        </w:rPr>
        <w:t xml:space="preserve">che </w:t>
      </w:r>
      <w:r w:rsidR="00410327">
        <w:rPr>
          <w:sz w:val="20"/>
        </w:rPr>
        <w:t>verrà</w:t>
      </w:r>
      <w:r w:rsidR="005261C6">
        <w:rPr>
          <w:sz w:val="20"/>
        </w:rPr>
        <w:t xml:space="preserve"> </w:t>
      </w:r>
      <w:r w:rsidRPr="00BA1C47">
        <w:rPr>
          <w:sz w:val="20"/>
        </w:rPr>
        <w:t>elaborat</w:t>
      </w:r>
      <w:r w:rsidR="00D43021">
        <w:rPr>
          <w:sz w:val="20"/>
        </w:rPr>
        <w:t>o</w:t>
      </w:r>
      <w:r w:rsidRPr="00BA1C47">
        <w:rPr>
          <w:sz w:val="20"/>
        </w:rPr>
        <w:t xml:space="preserve"> e predispost</w:t>
      </w:r>
      <w:r w:rsidR="00D43021">
        <w:rPr>
          <w:sz w:val="20"/>
        </w:rPr>
        <w:t>o</w:t>
      </w:r>
      <w:r w:rsidRPr="00BA1C47">
        <w:rPr>
          <w:sz w:val="20"/>
        </w:rPr>
        <w:t xml:space="preserve"> nella sua completezza dal Team di progettazione</w:t>
      </w:r>
      <w:r w:rsidR="00676627">
        <w:rPr>
          <w:sz w:val="20"/>
        </w:rPr>
        <w:t>,</w:t>
      </w:r>
      <w:r w:rsidRPr="00BA1C47">
        <w:rPr>
          <w:sz w:val="20"/>
        </w:rPr>
        <w:t xml:space="preserve"> </w:t>
      </w:r>
      <w:r w:rsidR="00410327">
        <w:rPr>
          <w:sz w:val="20"/>
        </w:rPr>
        <w:t>in fase di nomina</w:t>
      </w:r>
      <w:r w:rsidRPr="00BA1C47">
        <w:rPr>
          <w:sz w:val="20"/>
        </w:rPr>
        <w:t xml:space="preserve">, prevede una spesa lorda e complessiva di </w:t>
      </w:r>
      <w:proofErr w:type="gramStart"/>
      <w:r w:rsidRPr="00BA1C47">
        <w:rPr>
          <w:sz w:val="20"/>
        </w:rPr>
        <w:t>Euro</w:t>
      </w:r>
      <w:proofErr w:type="gramEnd"/>
      <w:r w:rsidRPr="00BA1C47">
        <w:rPr>
          <w:sz w:val="20"/>
        </w:rPr>
        <w:t xml:space="preserve"> </w:t>
      </w:r>
      <w:r w:rsidR="003A299C">
        <w:rPr>
          <w:sz w:val="20"/>
        </w:rPr>
        <w:t>3</w:t>
      </w:r>
      <w:r w:rsidR="00055188">
        <w:rPr>
          <w:sz w:val="20"/>
        </w:rPr>
        <w:t>7</w:t>
      </w:r>
      <w:r w:rsidR="00A15EDA">
        <w:rPr>
          <w:sz w:val="20"/>
        </w:rPr>
        <w:t>.</w:t>
      </w:r>
      <w:r w:rsidR="00055188">
        <w:rPr>
          <w:sz w:val="20"/>
        </w:rPr>
        <w:t>2</w:t>
      </w:r>
      <w:r w:rsidR="00BF3735">
        <w:rPr>
          <w:sz w:val="20"/>
        </w:rPr>
        <w:t>0</w:t>
      </w:r>
      <w:r w:rsidR="00A15EDA">
        <w:rPr>
          <w:sz w:val="20"/>
        </w:rPr>
        <w:t>0,00</w:t>
      </w:r>
      <w:r w:rsidRPr="00BA1C47">
        <w:rPr>
          <w:sz w:val="20"/>
        </w:rPr>
        <w:t>;</w:t>
      </w:r>
    </w:p>
    <w:p w14:paraId="14078E29" w14:textId="3CFD9AC0" w:rsidR="00B37582" w:rsidRPr="001B34E7" w:rsidRDefault="00DF1533">
      <w:pPr>
        <w:pStyle w:val="Paragrafoelenco"/>
        <w:numPr>
          <w:ilvl w:val="0"/>
          <w:numId w:val="2"/>
        </w:numPr>
        <w:jc w:val="both"/>
      </w:pPr>
      <w:r w:rsidRPr="00A15EDA">
        <w:rPr>
          <w:sz w:val="20"/>
        </w:rPr>
        <w:t xml:space="preserve">l’importo netto dei lavori in oggetto, comprensivo di tutte le lavorazioni, ha un valore complessivo pari ad </w:t>
      </w:r>
      <w:proofErr w:type="gramStart"/>
      <w:r w:rsidRPr="00A15EDA">
        <w:rPr>
          <w:sz w:val="20"/>
        </w:rPr>
        <w:t>Euro</w:t>
      </w:r>
      <w:proofErr w:type="gramEnd"/>
      <w:r w:rsidRPr="00A15EDA">
        <w:rPr>
          <w:sz w:val="20"/>
        </w:rPr>
        <w:t xml:space="preserve"> </w:t>
      </w:r>
      <w:r w:rsidR="005261C6">
        <w:rPr>
          <w:sz w:val="20"/>
        </w:rPr>
        <w:t>30</w:t>
      </w:r>
      <w:r w:rsidR="003A299C">
        <w:rPr>
          <w:sz w:val="20"/>
        </w:rPr>
        <w:t>.000</w:t>
      </w:r>
      <w:r w:rsidR="00F522E7" w:rsidRPr="00A15EDA">
        <w:rPr>
          <w:sz w:val="20"/>
        </w:rPr>
        <w:t>,00</w:t>
      </w:r>
      <w:r w:rsidRPr="00A15EDA">
        <w:rPr>
          <w:sz w:val="20"/>
        </w:rPr>
        <w:t xml:space="preserve">, di cui Euro </w:t>
      </w:r>
      <w:r w:rsidR="00B7643E">
        <w:rPr>
          <w:sz w:val="20"/>
        </w:rPr>
        <w:t>29</w:t>
      </w:r>
      <w:r w:rsidR="00F522E7" w:rsidRPr="00A15EDA">
        <w:rPr>
          <w:sz w:val="20"/>
        </w:rPr>
        <w:t>.</w:t>
      </w:r>
      <w:r w:rsidR="00B7643E">
        <w:rPr>
          <w:sz w:val="20"/>
        </w:rPr>
        <w:t>200</w:t>
      </w:r>
      <w:r w:rsidR="00F522E7" w:rsidRPr="00A15EDA">
        <w:rPr>
          <w:sz w:val="20"/>
        </w:rPr>
        <w:t>,00</w:t>
      </w:r>
      <w:r w:rsidRPr="00A15EDA">
        <w:rPr>
          <w:sz w:val="20"/>
        </w:rPr>
        <w:t xml:space="preserve"> per lavori a base d’asta e Euro </w:t>
      </w:r>
      <w:r w:rsidR="00B7643E">
        <w:rPr>
          <w:sz w:val="20"/>
        </w:rPr>
        <w:t>800</w:t>
      </w:r>
      <w:r w:rsidR="00F522E7" w:rsidRPr="00A15EDA">
        <w:rPr>
          <w:sz w:val="20"/>
        </w:rPr>
        <w:t>,00</w:t>
      </w:r>
      <w:r w:rsidRPr="00A15EDA">
        <w:rPr>
          <w:sz w:val="20"/>
        </w:rPr>
        <w:t xml:space="preserve"> per oneri di sicurezza non suscettibili di ribasso, talché l’importo a base di gara è compreso tra la soglia di importo </w:t>
      </w:r>
      <w:r w:rsidR="002E0F29">
        <w:rPr>
          <w:sz w:val="20"/>
        </w:rPr>
        <w:t>i</w:t>
      </w:r>
      <w:r w:rsidRPr="00A15EDA">
        <w:rPr>
          <w:sz w:val="20"/>
        </w:rPr>
        <w:t xml:space="preserve">nferiore a Euro </w:t>
      </w:r>
      <w:r w:rsidR="002E0F29">
        <w:rPr>
          <w:sz w:val="20"/>
        </w:rPr>
        <w:t>4</w:t>
      </w:r>
      <w:r w:rsidR="001B34E7">
        <w:rPr>
          <w:sz w:val="20"/>
        </w:rPr>
        <w:t>0.00</w:t>
      </w:r>
      <w:r w:rsidRPr="00A15EDA">
        <w:rPr>
          <w:sz w:val="20"/>
        </w:rPr>
        <w:t>0,00;</w:t>
      </w:r>
    </w:p>
    <w:p w14:paraId="00E576FE" w14:textId="300C3470" w:rsidR="001B34E7" w:rsidRPr="002E0F29" w:rsidRDefault="001B34E7" w:rsidP="002E0F29">
      <w:pPr>
        <w:pStyle w:val="Paragrafoelenco"/>
        <w:numPr>
          <w:ilvl w:val="0"/>
          <w:numId w:val="2"/>
        </w:numPr>
        <w:autoSpaceDE w:val="0"/>
        <w:autoSpaceDN w:val="0"/>
        <w:adjustRightInd w:val="0"/>
        <w:jc w:val="both"/>
        <w:rPr>
          <w:sz w:val="20"/>
        </w:rPr>
      </w:pPr>
      <w:r w:rsidRPr="002E0F29">
        <w:rPr>
          <w:sz w:val="20"/>
        </w:rPr>
        <w:t xml:space="preserve">l’art. 36, comma 2, lett. </w:t>
      </w:r>
      <w:r w:rsidR="002E0F29" w:rsidRPr="002E0F29">
        <w:rPr>
          <w:sz w:val="20"/>
        </w:rPr>
        <w:t>a</w:t>
      </w:r>
      <w:r w:rsidRPr="002E0F29">
        <w:rPr>
          <w:sz w:val="20"/>
        </w:rPr>
        <w:t xml:space="preserve">) del D.Lgs. 18/04/2016, n. 50, come modificato dall’art. 1 </w:t>
      </w:r>
      <w:r w:rsidR="00D43021">
        <w:rPr>
          <w:sz w:val="20"/>
        </w:rPr>
        <w:t>comma 5 bis della Legge 11.09.2020 n. 120 e dall’art. 51 della Legge 29.07.2021 n. 108</w:t>
      </w:r>
      <w:r w:rsidRPr="002E0F29">
        <w:rPr>
          <w:sz w:val="20"/>
        </w:rPr>
        <w:t xml:space="preserve">, prevede per l’affidamento di lavori di importo inferiore ad </w:t>
      </w:r>
      <w:proofErr w:type="gramStart"/>
      <w:r w:rsidRPr="002E0F29">
        <w:rPr>
          <w:sz w:val="20"/>
        </w:rPr>
        <w:t>Euro</w:t>
      </w:r>
      <w:proofErr w:type="gramEnd"/>
      <w:r w:rsidRPr="002E0F29">
        <w:rPr>
          <w:sz w:val="20"/>
        </w:rPr>
        <w:t xml:space="preserve"> </w:t>
      </w:r>
      <w:r w:rsidR="002E0F29" w:rsidRPr="002E0F29">
        <w:rPr>
          <w:sz w:val="20"/>
        </w:rPr>
        <w:t>4</w:t>
      </w:r>
      <w:r w:rsidRPr="002E0F29">
        <w:rPr>
          <w:sz w:val="20"/>
        </w:rPr>
        <w:t xml:space="preserve">0.000,00 mediante </w:t>
      </w:r>
      <w:r w:rsidR="002E0F29" w:rsidRPr="002E0F29">
        <w:rPr>
          <w:sz w:val="20"/>
        </w:rPr>
        <w:t xml:space="preserve">affidamento diretto, </w:t>
      </w:r>
      <w:r w:rsidR="002E0F29">
        <w:rPr>
          <w:sz w:val="20"/>
        </w:rPr>
        <w:t>“</w:t>
      </w:r>
      <w:r w:rsidR="002E0F29" w:rsidRPr="002E0F29">
        <w:rPr>
          <w:i/>
          <w:sz w:val="20"/>
        </w:rPr>
        <w:t>anche senza previa consultazione di due o più operatori economici</w:t>
      </w:r>
      <w:r w:rsidR="002E0F29">
        <w:rPr>
          <w:sz w:val="20"/>
        </w:rPr>
        <w:t>”</w:t>
      </w:r>
      <w:r w:rsidR="002E0F29" w:rsidRPr="002E0F29">
        <w:rPr>
          <w:sz w:val="20"/>
        </w:rPr>
        <w:t>;</w:t>
      </w:r>
    </w:p>
    <w:p w14:paraId="7E12954F" w14:textId="3432E692" w:rsidR="001B34E7" w:rsidRPr="0006053D" w:rsidRDefault="008C0582" w:rsidP="001B34E7">
      <w:pPr>
        <w:pStyle w:val="Paragrafoelenco"/>
        <w:numPr>
          <w:ilvl w:val="0"/>
          <w:numId w:val="5"/>
        </w:numPr>
        <w:autoSpaceDE w:val="0"/>
        <w:autoSpaceDN w:val="0"/>
        <w:adjustRightInd w:val="0"/>
        <w:jc w:val="both"/>
        <w:rPr>
          <w:color w:val="auto"/>
          <w:sz w:val="20"/>
        </w:rPr>
      </w:pPr>
      <w:r w:rsidRPr="0006053D">
        <w:rPr>
          <w:color w:val="auto"/>
          <w:sz w:val="20"/>
        </w:rPr>
        <w:t xml:space="preserve">considerata la necessità di procedere </w:t>
      </w:r>
      <w:r w:rsidR="00D67A38" w:rsidRPr="0006053D">
        <w:rPr>
          <w:color w:val="auto"/>
          <w:sz w:val="20"/>
        </w:rPr>
        <w:t xml:space="preserve">alla posa di segnaletica stradale verticale di prescrizione per il ripristino di quella danneggiata da sinistri stradali onde garantire la sicurezza degli utenti della strada, visto l’esiguo fondo a disposizione per il corrente anno. Vista </w:t>
      </w:r>
      <w:r w:rsidR="001B34E7" w:rsidRPr="0006053D">
        <w:rPr>
          <w:color w:val="auto"/>
          <w:sz w:val="20"/>
        </w:rPr>
        <w:t>la norma</w:t>
      </w:r>
      <w:r w:rsidR="00D67A38" w:rsidRPr="0006053D">
        <w:rPr>
          <w:color w:val="auto"/>
          <w:sz w:val="20"/>
        </w:rPr>
        <w:t>tiva</w:t>
      </w:r>
      <w:r w:rsidR="001B34E7" w:rsidRPr="0006053D">
        <w:rPr>
          <w:color w:val="auto"/>
          <w:sz w:val="20"/>
        </w:rPr>
        <w:t xml:space="preserve"> d</w:t>
      </w:r>
      <w:r w:rsidR="00D67A38" w:rsidRPr="0006053D">
        <w:rPr>
          <w:color w:val="auto"/>
          <w:sz w:val="20"/>
        </w:rPr>
        <w:t>a</w:t>
      </w:r>
      <w:r w:rsidR="001B34E7" w:rsidRPr="0006053D">
        <w:rPr>
          <w:color w:val="auto"/>
          <w:sz w:val="20"/>
        </w:rPr>
        <w:t xml:space="preserve"> </w:t>
      </w:r>
      <w:r w:rsidR="00D67A38" w:rsidRPr="0006053D">
        <w:rPr>
          <w:color w:val="auto"/>
          <w:sz w:val="20"/>
        </w:rPr>
        <w:t>cui</w:t>
      </w:r>
      <w:r w:rsidR="001B34E7" w:rsidRPr="0006053D">
        <w:rPr>
          <w:color w:val="auto"/>
          <w:sz w:val="20"/>
        </w:rPr>
        <w:t xml:space="preserve"> emerge la volontà, da parte del </w:t>
      </w:r>
      <w:r w:rsidR="00D67A38" w:rsidRPr="0006053D">
        <w:rPr>
          <w:color w:val="auto"/>
          <w:sz w:val="20"/>
        </w:rPr>
        <w:t>L</w:t>
      </w:r>
      <w:r w:rsidR="001B34E7" w:rsidRPr="0006053D">
        <w:rPr>
          <w:color w:val="auto"/>
          <w:sz w:val="20"/>
        </w:rPr>
        <w:t xml:space="preserve">egislatore, di introdurre la possibilità per le Stazioni </w:t>
      </w:r>
      <w:r w:rsidR="00D67A38" w:rsidRPr="0006053D">
        <w:rPr>
          <w:color w:val="auto"/>
          <w:sz w:val="20"/>
        </w:rPr>
        <w:t>A</w:t>
      </w:r>
      <w:r w:rsidR="001B34E7" w:rsidRPr="0006053D">
        <w:rPr>
          <w:color w:val="auto"/>
          <w:sz w:val="20"/>
        </w:rPr>
        <w:t xml:space="preserve">ppaltanti di dare corso </w:t>
      </w:r>
      <w:r w:rsidR="00D10F88" w:rsidRPr="0006053D">
        <w:rPr>
          <w:color w:val="auto"/>
          <w:sz w:val="20"/>
        </w:rPr>
        <w:t xml:space="preserve">ad  una procedura di gara </w:t>
      </w:r>
      <w:r w:rsidR="00D43021">
        <w:rPr>
          <w:color w:val="auto"/>
          <w:sz w:val="20"/>
        </w:rPr>
        <w:t>semplificata</w:t>
      </w:r>
      <w:r w:rsidR="00D10F88" w:rsidRPr="0006053D">
        <w:rPr>
          <w:color w:val="auto"/>
          <w:sz w:val="20"/>
        </w:rPr>
        <w:t xml:space="preserve">, per l’affidamento di lavori  </w:t>
      </w:r>
      <w:r w:rsidR="001B34E7" w:rsidRPr="0006053D">
        <w:rPr>
          <w:color w:val="auto"/>
          <w:sz w:val="20"/>
        </w:rPr>
        <w:t xml:space="preserve">rientranti nell’ambito della soglia economica sopra indicata, mediante una procedura </w:t>
      </w:r>
      <w:r w:rsidR="007A5000" w:rsidRPr="0006053D">
        <w:rPr>
          <w:color w:val="auto"/>
          <w:sz w:val="20"/>
        </w:rPr>
        <w:t>di affidamento diretto</w:t>
      </w:r>
      <w:r w:rsidR="001B34E7" w:rsidRPr="0006053D">
        <w:rPr>
          <w:color w:val="auto"/>
          <w:sz w:val="20"/>
        </w:rPr>
        <w:t xml:space="preserve">, nel rispetto dei principi generali della fonte di regolazione, con particolare riguardo al principio di rotazione dei concorrenti,  idoneamente qualificati e operanti nello specifico mercato oggetto di affidamento, predeterminati dalla Stazione </w:t>
      </w:r>
      <w:r w:rsidR="007A5000" w:rsidRPr="0006053D">
        <w:rPr>
          <w:color w:val="auto"/>
          <w:sz w:val="20"/>
        </w:rPr>
        <w:t>A</w:t>
      </w:r>
      <w:r w:rsidR="001B34E7" w:rsidRPr="0006053D">
        <w:rPr>
          <w:color w:val="auto"/>
          <w:sz w:val="20"/>
        </w:rPr>
        <w:t>ppaltante e scelti attingendo da propri elenchi ufficiali;</w:t>
      </w:r>
    </w:p>
    <w:p w14:paraId="29F6E9E5" w14:textId="1E4B4386" w:rsidR="001B34E7" w:rsidRPr="00665426" w:rsidRDefault="001B34E7" w:rsidP="001B34E7">
      <w:pPr>
        <w:pStyle w:val="Paragrafoelenco"/>
        <w:numPr>
          <w:ilvl w:val="0"/>
          <w:numId w:val="5"/>
        </w:numPr>
        <w:autoSpaceDE w:val="0"/>
        <w:autoSpaceDN w:val="0"/>
        <w:adjustRightInd w:val="0"/>
        <w:jc w:val="both"/>
        <w:rPr>
          <w:color w:val="000000"/>
          <w:sz w:val="20"/>
        </w:rPr>
      </w:pPr>
      <w:r w:rsidRPr="001B34E7">
        <w:rPr>
          <w:color w:val="000000"/>
          <w:sz w:val="20"/>
        </w:rPr>
        <w:t xml:space="preserve">per le opere da eseguire, </w:t>
      </w:r>
      <w:r w:rsidR="00B7643E">
        <w:rPr>
          <w:color w:val="000000"/>
          <w:sz w:val="20"/>
        </w:rPr>
        <w:t>verrà</w:t>
      </w:r>
      <w:r w:rsidR="002E0F29">
        <w:rPr>
          <w:color w:val="000000"/>
          <w:sz w:val="20"/>
        </w:rPr>
        <w:t xml:space="preserve"> </w:t>
      </w:r>
      <w:r w:rsidRPr="001B34E7">
        <w:rPr>
          <w:color w:val="000000"/>
          <w:sz w:val="20"/>
        </w:rPr>
        <w:t>selezionat</w:t>
      </w:r>
      <w:r w:rsidR="00B7643E">
        <w:rPr>
          <w:color w:val="000000"/>
          <w:sz w:val="20"/>
        </w:rPr>
        <w:t>o</w:t>
      </w:r>
      <w:r w:rsidRPr="001B34E7">
        <w:rPr>
          <w:color w:val="000000"/>
          <w:sz w:val="20"/>
        </w:rPr>
        <w:t xml:space="preserve"> n. </w:t>
      </w:r>
      <w:r w:rsidR="002E0F29">
        <w:rPr>
          <w:color w:val="000000"/>
          <w:sz w:val="20"/>
        </w:rPr>
        <w:t>1</w:t>
      </w:r>
      <w:r w:rsidRPr="001B34E7">
        <w:rPr>
          <w:color w:val="000000"/>
          <w:sz w:val="20"/>
        </w:rPr>
        <w:t xml:space="preserve"> operator</w:t>
      </w:r>
      <w:r w:rsidR="002E0F29">
        <w:rPr>
          <w:color w:val="000000"/>
          <w:sz w:val="20"/>
        </w:rPr>
        <w:t>e</w:t>
      </w:r>
      <w:r w:rsidRPr="001B34E7">
        <w:rPr>
          <w:color w:val="000000"/>
          <w:sz w:val="20"/>
        </w:rPr>
        <w:t xml:space="preserve"> economic</w:t>
      </w:r>
      <w:r w:rsidR="00E46351">
        <w:rPr>
          <w:color w:val="000000"/>
          <w:sz w:val="20"/>
        </w:rPr>
        <w:t>o</w:t>
      </w:r>
      <w:r w:rsidRPr="001B34E7">
        <w:rPr>
          <w:color w:val="000000"/>
          <w:sz w:val="20"/>
        </w:rPr>
        <w:t xml:space="preserve"> in possesso delle adeguate qualificazioni tecniche, con categoria SOA – “OS 10</w:t>
      </w:r>
      <w:r>
        <w:rPr>
          <w:color w:val="000000"/>
          <w:sz w:val="20"/>
        </w:rPr>
        <w:t>”;</w:t>
      </w:r>
    </w:p>
    <w:p w14:paraId="0077AE51" w14:textId="3DAD4DB4" w:rsidR="00B37582" w:rsidRDefault="00DF1533" w:rsidP="001B34E7">
      <w:pPr>
        <w:numPr>
          <w:ilvl w:val="0"/>
          <w:numId w:val="5"/>
        </w:numPr>
        <w:rPr>
          <w:rFonts w:ascii="Arial" w:hAnsi="Arial" w:cs="Arial"/>
          <w:color w:val="000000"/>
        </w:rPr>
      </w:pPr>
      <w:r w:rsidRPr="00A15EDA">
        <w:rPr>
          <w:rFonts w:ascii="Arial" w:hAnsi="Arial" w:cs="Arial"/>
          <w:color w:val="000000"/>
        </w:rPr>
        <w:t>sono estesi al contraente gli obblighi previsti dall’art.  1, comma 17 della Legge 06/11/2012, n. 190 e del conseguente Piano Nazionale Anticorruzione</w:t>
      </w:r>
    </w:p>
    <w:p w14:paraId="3536D4AF" w14:textId="77777777" w:rsidR="00062668" w:rsidRPr="00062668" w:rsidRDefault="00062668" w:rsidP="00062668">
      <w:pPr>
        <w:numPr>
          <w:ilvl w:val="0"/>
          <w:numId w:val="5"/>
        </w:numPr>
        <w:rPr>
          <w:rFonts w:ascii="Arial" w:hAnsi="Arial" w:cs="Arial"/>
          <w:color w:val="000000"/>
        </w:rPr>
      </w:pPr>
      <w:r w:rsidRPr="00062668">
        <w:rPr>
          <w:rFonts w:ascii="Arial" w:hAnsi="Arial" w:cs="Arial"/>
          <w:color w:val="000000"/>
        </w:rPr>
        <w:t xml:space="preserve">è stato predisposto, firmato e conservato nel fascicolo di ufficio, l’atto interno a corredo dell’attività di assegnazione contratti ai sensi dell’art. 1, comma 9 lettera e) della legge 06/11/2012, n. 190 e dell’art. 10 comma 2 lettera a) del P.T.P.C.; </w:t>
      </w:r>
    </w:p>
    <w:p w14:paraId="56D70554" w14:textId="77777777" w:rsidR="00B37582" w:rsidRPr="00A15EDA" w:rsidRDefault="00DF1533">
      <w:pPr>
        <w:numPr>
          <w:ilvl w:val="0"/>
          <w:numId w:val="5"/>
        </w:numPr>
      </w:pPr>
      <w:r w:rsidRPr="00A15EDA">
        <w:rPr>
          <w:rFonts w:ascii="Arial" w:hAnsi="Arial" w:cs="Arial"/>
        </w:rPr>
        <w:t>la proposta di determinazione di cui è caso, predisposta dal Responsabile del procedimento cui essa afferisce, a dallo stesso inserita nel flusso documentale dell’Ente, la qual cosa ne sancisce la provenienza, la titolarità e la sottoscrizione, è tecnicamente regolare nei termini indicati dall’art. 147-bis, comma 1 del D.Lgs. 18/8/2000, n. 267, introdotto dal D.L. 10/10/2012, n. 174, convertito nella legge 7/12/2013, n. 213;</w:t>
      </w:r>
    </w:p>
    <w:p w14:paraId="11F44ED8" w14:textId="77777777" w:rsidR="00B37582" w:rsidRDefault="00B37582">
      <w:pPr>
        <w:pStyle w:val="Paragrafoelenco"/>
      </w:pPr>
    </w:p>
    <w:p w14:paraId="1B2BE1B8" w14:textId="77777777" w:rsidR="00665426" w:rsidRPr="00665426" w:rsidRDefault="00665426" w:rsidP="00665426">
      <w:pPr>
        <w:numPr>
          <w:ilvl w:val="0"/>
          <w:numId w:val="19"/>
        </w:numPr>
        <w:tabs>
          <w:tab w:val="left" w:pos="426"/>
        </w:tabs>
        <w:contextualSpacing/>
        <w:rPr>
          <w:rFonts w:ascii="Arial" w:hAnsi="Arial" w:cs="Arial"/>
          <w:color w:val="000000"/>
        </w:rPr>
      </w:pPr>
      <w:r w:rsidRPr="00665426">
        <w:rPr>
          <w:rFonts w:ascii="Arial" w:hAnsi="Arial" w:cs="Arial"/>
        </w:rPr>
        <w:lastRenderedPageBreak/>
        <w:t>Il presente atto è conforme al principio di segmentazione procedimentale stabilito dall’art. 20, comma 1 del nuovo Regolamento per la disciplina degli uffici e di servizi approvato con deliberazione della</w:t>
      </w:r>
      <w:r w:rsidRPr="00665426">
        <w:rPr>
          <w:rFonts w:ascii="Arial" w:hAnsi="Arial" w:cs="Arial"/>
          <w:color w:val="000000"/>
        </w:rPr>
        <w:t xml:space="preserve"> Giunta Comunale 20/12/2016, n. 169, integrato e modificato con deliberazione del 17/04/2019 , n. 40, entrambe efficaci ai sensi di legge, in applicazione delle linee guida sul tema dell’Anticorruzione approvate dal Consiglio Comunale con deliberazione del 12/12/2016, n. 72 e delle deliberazioni della Giunta Comunale 01/02/2017, n.14 a oggetto </w:t>
      </w:r>
      <w:r w:rsidRPr="00665426">
        <w:rPr>
          <w:rFonts w:ascii="Arial" w:hAnsi="Arial" w:cs="Arial"/>
          <w:i/>
          <w:iCs/>
          <w:color w:val="000000"/>
        </w:rPr>
        <w:t>“Piano Triennale di Prevenzione della Corruzione 2017 – 2018 e 2019. Approvazione”</w:t>
      </w:r>
      <w:r w:rsidRPr="00665426">
        <w:rPr>
          <w:rFonts w:ascii="Arial" w:hAnsi="Arial" w:cs="Arial"/>
          <w:color w:val="000000"/>
        </w:rPr>
        <w:t xml:space="preserve"> e 05/02/2018, n. 7, a oggetto </w:t>
      </w:r>
      <w:r w:rsidRPr="00665426">
        <w:rPr>
          <w:rFonts w:ascii="Arial" w:hAnsi="Arial" w:cs="Arial"/>
          <w:i/>
          <w:iCs/>
          <w:color w:val="000000"/>
        </w:rPr>
        <w:t>“Piano Triennale di Prevenzione della Corruzione e programma triennale per la trasparenza e l’integrità 2018-2019-2020. Approvazione”</w:t>
      </w:r>
      <w:r w:rsidRPr="00665426">
        <w:rPr>
          <w:rFonts w:ascii="Arial" w:hAnsi="Arial" w:cs="Arial"/>
          <w:color w:val="000000"/>
        </w:rPr>
        <w:t>, 30/01/2019, n. 13, a oggetto</w:t>
      </w:r>
      <w:r w:rsidRPr="00665426">
        <w:rPr>
          <w:rFonts w:ascii="Arial" w:hAnsi="Arial" w:cs="Arial"/>
          <w:i/>
          <w:iCs/>
          <w:color w:val="000000"/>
        </w:rPr>
        <w:t xml:space="preserve"> “Piano Triennale di Prevenzione della Corruzione e programma triennale per la trasparenza e l’integrità 2019-2020-2021 – Approvazione”, </w:t>
      </w:r>
      <w:r w:rsidRPr="00665426">
        <w:rPr>
          <w:rFonts w:ascii="Arial" w:hAnsi="Arial" w:cs="Arial"/>
          <w:color w:val="000000"/>
        </w:rPr>
        <w:t xml:space="preserve">n. 48 del 13/05/2020 a oggetto </w:t>
      </w:r>
      <w:r w:rsidRPr="00665426">
        <w:rPr>
          <w:rFonts w:ascii="Arial" w:hAnsi="Arial" w:cs="Arial"/>
          <w:i/>
          <w:iCs/>
          <w:color w:val="000000"/>
        </w:rPr>
        <w:t>“Piano Triennale di Prevenzione della Corruzione e programma triennale per la trasparenza e l’integrità 2020-2021-2022 – Approvazione definitiva</w:t>
      </w:r>
      <w:r w:rsidRPr="00665426">
        <w:rPr>
          <w:rFonts w:ascii="Arial" w:hAnsi="Arial" w:cs="Arial"/>
          <w:i/>
          <w:iCs/>
          <w:color w:val="000000" w:themeColor="text1"/>
        </w:rPr>
        <w:t xml:space="preserve">”  </w:t>
      </w:r>
      <w:r w:rsidRPr="00665426">
        <w:rPr>
          <w:rFonts w:ascii="Arial" w:hAnsi="Arial" w:cs="Arial"/>
          <w:color w:val="000000" w:themeColor="text1"/>
        </w:rPr>
        <w:t>e n. 41 del 13/04/2021 a oggetto</w:t>
      </w:r>
      <w:r w:rsidRPr="00665426">
        <w:rPr>
          <w:rFonts w:ascii="Arial" w:hAnsi="Arial" w:cs="Arial"/>
          <w:i/>
          <w:iCs/>
          <w:color w:val="000000" w:themeColor="text1"/>
        </w:rPr>
        <w:t xml:space="preserve"> “Piano Triennale di Prevenzione della Corruzione e programma triennale per la trasparenza e l’integrità 2021-2022-2023,  </w:t>
      </w:r>
      <w:r w:rsidRPr="00665426">
        <w:rPr>
          <w:rFonts w:ascii="Arial" w:hAnsi="Arial" w:cs="Arial"/>
          <w:color w:val="000000" w:themeColor="text1"/>
        </w:rPr>
        <w:t>t</w:t>
      </w:r>
      <w:r w:rsidRPr="00665426">
        <w:rPr>
          <w:rFonts w:ascii="Arial" w:hAnsi="Arial" w:cs="Arial"/>
          <w:color w:val="000000"/>
        </w:rPr>
        <w:t xml:space="preserve">utte efficaci ai sensi di legge; </w:t>
      </w:r>
    </w:p>
    <w:p w14:paraId="564380A4" w14:textId="77777777" w:rsidR="00B37582" w:rsidRPr="003A299C" w:rsidRDefault="00B37582" w:rsidP="003A299C">
      <w:pPr>
        <w:ind w:left="709" w:hanging="425"/>
        <w:rPr>
          <w:rFonts w:ascii="Arial" w:hAnsi="Arial" w:cs="Arial"/>
          <w:b/>
          <w:color w:val="000000"/>
        </w:rPr>
      </w:pPr>
    </w:p>
    <w:p w14:paraId="76AAFEDF" w14:textId="77777777" w:rsidR="00B37582" w:rsidRDefault="00DF1533">
      <w:r>
        <w:rPr>
          <w:rFonts w:ascii="Arial" w:hAnsi="Arial" w:cs="Arial"/>
          <w:b/>
          <w:color w:val="000000"/>
        </w:rPr>
        <w:tab/>
      </w:r>
      <w:r w:rsidRPr="00A15EDA">
        <w:rPr>
          <w:rFonts w:ascii="Arial" w:hAnsi="Arial" w:cs="Arial"/>
          <w:b/>
          <w:color w:val="000000"/>
        </w:rPr>
        <w:t xml:space="preserve">Ritenuto </w:t>
      </w:r>
      <w:r w:rsidRPr="00A15EDA">
        <w:rPr>
          <w:rFonts w:ascii="Arial" w:hAnsi="Arial" w:cs="Arial"/>
          <w:color w:val="000000"/>
        </w:rPr>
        <w:t>di fare propria attribuendole efficacia esterna e dunque di approvare ad ogni fine di legge la proposta di determinazione predisposta dal Responsabile del procedimento meglio evidenziata in preambolo, che stabilisce:</w:t>
      </w:r>
    </w:p>
    <w:p w14:paraId="1900B56A" w14:textId="77777777" w:rsidR="00B37582" w:rsidRDefault="00B37582">
      <w:pPr>
        <w:pStyle w:val="Default"/>
        <w:ind w:left="1004"/>
        <w:jc w:val="both"/>
        <w:rPr>
          <w:sz w:val="20"/>
          <w:szCs w:val="20"/>
          <w:highlight w:val="green"/>
        </w:rPr>
      </w:pPr>
    </w:p>
    <w:p w14:paraId="320D8A78" w14:textId="4D835D1D" w:rsidR="00F66880" w:rsidRPr="00055188" w:rsidRDefault="00250784" w:rsidP="005A5045">
      <w:pPr>
        <w:pStyle w:val="Paragrafoelenco"/>
        <w:numPr>
          <w:ilvl w:val="0"/>
          <w:numId w:val="1"/>
        </w:numPr>
        <w:autoSpaceDE w:val="0"/>
        <w:autoSpaceDN w:val="0"/>
        <w:adjustRightInd w:val="0"/>
        <w:jc w:val="both"/>
        <w:rPr>
          <w:color w:val="auto"/>
          <w:sz w:val="20"/>
        </w:rPr>
      </w:pPr>
      <w:r w:rsidRPr="00250784">
        <w:rPr>
          <w:sz w:val="20"/>
        </w:rPr>
        <w:t>di assumere</w:t>
      </w:r>
      <w:r w:rsidRPr="00A9473C">
        <w:rPr>
          <w:sz w:val="20"/>
        </w:rPr>
        <w:t xml:space="preserve"> la prevista determinazione </w:t>
      </w:r>
      <w:r>
        <w:rPr>
          <w:sz w:val="20"/>
        </w:rPr>
        <w:t>a contrarre</w:t>
      </w:r>
      <w:r w:rsidRPr="00A9473C">
        <w:rPr>
          <w:sz w:val="20"/>
        </w:rPr>
        <w:t>, propedeutica all’avvio della procedura di appalto,</w:t>
      </w:r>
      <w:r w:rsidRPr="00E4644A">
        <w:rPr>
          <w:bCs/>
          <w:sz w:val="20"/>
        </w:rPr>
        <w:t xml:space="preserve"> mediante </w:t>
      </w:r>
      <w:r>
        <w:rPr>
          <w:bCs/>
          <w:sz w:val="20"/>
        </w:rPr>
        <w:t>affidamento diretto</w:t>
      </w:r>
      <w:r w:rsidRPr="00E4644A">
        <w:rPr>
          <w:bCs/>
          <w:sz w:val="20"/>
        </w:rPr>
        <w:t xml:space="preserve">, di cui all’art. 36, comma 2, lett. </w:t>
      </w:r>
      <w:r>
        <w:rPr>
          <w:bCs/>
          <w:sz w:val="20"/>
        </w:rPr>
        <w:t>a</w:t>
      </w:r>
      <w:r w:rsidRPr="00E4644A">
        <w:rPr>
          <w:bCs/>
          <w:sz w:val="20"/>
        </w:rPr>
        <w:t xml:space="preserve">) del D.Lgs. 18/04/2016, n. 50, </w:t>
      </w:r>
      <w:r w:rsidRPr="002E0F29">
        <w:rPr>
          <w:sz w:val="20"/>
        </w:rPr>
        <w:t xml:space="preserve">come modificato dall’art. 1 </w:t>
      </w:r>
      <w:r>
        <w:rPr>
          <w:sz w:val="20"/>
        </w:rPr>
        <w:t>comma 5 bis della Legge 11.09.2020 n. 120 e dall’art. 51 della Legge 29.07.2021 n. 108</w:t>
      </w:r>
      <w:r w:rsidR="00751B40" w:rsidRPr="00055188">
        <w:rPr>
          <w:rFonts w:eastAsia="Calibri"/>
          <w:color w:val="auto"/>
          <w:sz w:val="20"/>
          <w:lang w:eastAsia="en-US"/>
        </w:rPr>
        <w:t xml:space="preserve">, previa consultazione di n. </w:t>
      </w:r>
      <w:r w:rsidR="002E0F29" w:rsidRPr="00055188">
        <w:rPr>
          <w:rFonts w:eastAsia="Calibri"/>
          <w:color w:val="auto"/>
          <w:sz w:val="20"/>
          <w:lang w:eastAsia="en-US"/>
        </w:rPr>
        <w:t>1</w:t>
      </w:r>
      <w:r w:rsidR="00751B40" w:rsidRPr="00055188">
        <w:rPr>
          <w:rFonts w:eastAsia="Calibri"/>
          <w:color w:val="auto"/>
          <w:sz w:val="20"/>
          <w:lang w:eastAsia="en-US"/>
        </w:rPr>
        <w:t xml:space="preserve"> operator</w:t>
      </w:r>
      <w:r w:rsidR="002E0F29" w:rsidRPr="00055188">
        <w:rPr>
          <w:rFonts w:eastAsia="Calibri"/>
          <w:color w:val="auto"/>
          <w:sz w:val="20"/>
          <w:lang w:eastAsia="en-US"/>
        </w:rPr>
        <w:t>e</w:t>
      </w:r>
      <w:r w:rsidR="00751B40" w:rsidRPr="00055188">
        <w:rPr>
          <w:rFonts w:eastAsia="Calibri"/>
          <w:color w:val="auto"/>
          <w:sz w:val="20"/>
          <w:lang w:eastAsia="en-US"/>
        </w:rPr>
        <w:t xml:space="preserve"> economic</w:t>
      </w:r>
      <w:r w:rsidR="002E0F29" w:rsidRPr="00055188">
        <w:rPr>
          <w:rFonts w:eastAsia="Calibri"/>
          <w:color w:val="auto"/>
          <w:sz w:val="20"/>
          <w:lang w:eastAsia="en-US"/>
        </w:rPr>
        <w:t>o</w:t>
      </w:r>
      <w:r w:rsidR="00751B40" w:rsidRPr="00055188">
        <w:rPr>
          <w:rFonts w:eastAsia="Calibri"/>
          <w:color w:val="auto"/>
          <w:sz w:val="20"/>
          <w:lang w:eastAsia="en-US"/>
        </w:rPr>
        <w:t xml:space="preserve"> idone</w:t>
      </w:r>
      <w:r w:rsidR="00C408E2" w:rsidRPr="00055188">
        <w:rPr>
          <w:rFonts w:eastAsia="Calibri"/>
          <w:color w:val="auto"/>
          <w:sz w:val="20"/>
          <w:lang w:eastAsia="en-US"/>
        </w:rPr>
        <w:t>o</w:t>
      </w:r>
      <w:r w:rsidR="00751B40" w:rsidRPr="00055188">
        <w:rPr>
          <w:rFonts w:eastAsia="Calibri"/>
          <w:color w:val="auto"/>
          <w:sz w:val="20"/>
          <w:lang w:eastAsia="en-US"/>
        </w:rPr>
        <w:t xml:space="preserve"> allo svolgimento delle particolari lavorazioni di cui si compone l’intervento ed in possesso delle necessarie qualifiche tecniche di natura specialistica, nel rispetto dei principi generali della fonte di regolazione, con particolare riguardo al principio di rotazione, la cui identità rimarrà secretata sino alla scadenza del </w:t>
      </w:r>
      <w:r w:rsidR="00751B40" w:rsidRPr="00055188">
        <w:rPr>
          <w:color w:val="auto"/>
          <w:sz w:val="20"/>
        </w:rPr>
        <w:t xml:space="preserve">termine per la presentazione delle offerte ex art. 53, comma 2, </w:t>
      </w:r>
      <w:proofErr w:type="spellStart"/>
      <w:r w:rsidR="00751B40" w:rsidRPr="00055188">
        <w:rPr>
          <w:color w:val="auto"/>
          <w:sz w:val="20"/>
        </w:rPr>
        <w:t>lett</w:t>
      </w:r>
      <w:proofErr w:type="spellEnd"/>
      <w:r w:rsidR="00751B40" w:rsidRPr="00055188">
        <w:rPr>
          <w:color w:val="auto"/>
          <w:sz w:val="20"/>
        </w:rPr>
        <w:t xml:space="preserve"> b) del D.Lgs. 18/04/2016, n. 50;</w:t>
      </w:r>
    </w:p>
    <w:p w14:paraId="4764522C" w14:textId="73959C24" w:rsidR="00B37582" w:rsidRPr="00A15EDA" w:rsidRDefault="00DF1533">
      <w:pPr>
        <w:pStyle w:val="Default"/>
        <w:numPr>
          <w:ilvl w:val="0"/>
          <w:numId w:val="1"/>
        </w:numPr>
        <w:jc w:val="both"/>
        <w:rPr>
          <w:sz w:val="20"/>
          <w:szCs w:val="20"/>
        </w:rPr>
      </w:pPr>
      <w:r w:rsidRPr="00A15EDA">
        <w:rPr>
          <w:sz w:val="20"/>
          <w:szCs w:val="20"/>
        </w:rPr>
        <w:t xml:space="preserve">di </w:t>
      </w:r>
      <w:r w:rsidR="002E0F29">
        <w:rPr>
          <w:sz w:val="20"/>
          <w:szCs w:val="20"/>
        </w:rPr>
        <w:t>assumere</w:t>
      </w:r>
      <w:r w:rsidRPr="00A15EDA">
        <w:rPr>
          <w:sz w:val="20"/>
          <w:szCs w:val="20"/>
        </w:rPr>
        <w:t xml:space="preserve"> ai sensi dell’art. 183, comma </w:t>
      </w:r>
      <w:r w:rsidR="00A9473C">
        <w:rPr>
          <w:sz w:val="20"/>
          <w:szCs w:val="20"/>
        </w:rPr>
        <w:t>1</w:t>
      </w:r>
      <w:r w:rsidRPr="00A15EDA">
        <w:rPr>
          <w:sz w:val="20"/>
          <w:szCs w:val="20"/>
        </w:rPr>
        <w:t xml:space="preserve"> del </w:t>
      </w:r>
      <w:r w:rsidR="00F33592">
        <w:rPr>
          <w:sz w:val="20"/>
          <w:szCs w:val="20"/>
        </w:rPr>
        <w:t>D</w:t>
      </w:r>
      <w:r w:rsidRPr="00A15EDA">
        <w:rPr>
          <w:sz w:val="20"/>
          <w:szCs w:val="20"/>
        </w:rPr>
        <w:t>.</w:t>
      </w:r>
      <w:r w:rsidR="006F5D82">
        <w:rPr>
          <w:sz w:val="20"/>
          <w:szCs w:val="20"/>
        </w:rPr>
        <w:t>L</w:t>
      </w:r>
      <w:r w:rsidRPr="00A15EDA">
        <w:rPr>
          <w:sz w:val="20"/>
          <w:szCs w:val="20"/>
        </w:rPr>
        <w:t>gs</w:t>
      </w:r>
      <w:r w:rsidR="006F5D82">
        <w:rPr>
          <w:sz w:val="20"/>
          <w:szCs w:val="20"/>
        </w:rPr>
        <w:t>.</w:t>
      </w:r>
      <w:r w:rsidRPr="00A15EDA">
        <w:rPr>
          <w:sz w:val="20"/>
          <w:szCs w:val="20"/>
        </w:rPr>
        <w:t xml:space="preserve"> 18/08/2000, n. 267 l’impegno di spesa per l’importo complessivo di </w:t>
      </w:r>
      <w:r w:rsidR="00E017B2">
        <w:rPr>
          <w:color w:val="auto"/>
          <w:sz w:val="20"/>
          <w:szCs w:val="20"/>
        </w:rPr>
        <w:t xml:space="preserve">€ </w:t>
      </w:r>
      <w:r w:rsidR="00410327">
        <w:rPr>
          <w:color w:val="auto"/>
          <w:sz w:val="20"/>
          <w:szCs w:val="20"/>
        </w:rPr>
        <w:t>36</w:t>
      </w:r>
      <w:r w:rsidR="004F0E8B">
        <w:rPr>
          <w:color w:val="auto"/>
          <w:sz w:val="20"/>
          <w:szCs w:val="20"/>
        </w:rPr>
        <w:t>.</w:t>
      </w:r>
      <w:r w:rsidR="00410327">
        <w:rPr>
          <w:color w:val="auto"/>
          <w:sz w:val="20"/>
          <w:szCs w:val="20"/>
        </w:rPr>
        <w:t>6</w:t>
      </w:r>
      <w:r w:rsidR="004F0E8B">
        <w:rPr>
          <w:color w:val="auto"/>
          <w:sz w:val="20"/>
          <w:szCs w:val="20"/>
        </w:rPr>
        <w:t>00</w:t>
      </w:r>
      <w:r w:rsidR="00A15EDA" w:rsidRPr="00A15EDA">
        <w:rPr>
          <w:color w:val="auto"/>
          <w:sz w:val="20"/>
          <w:szCs w:val="20"/>
        </w:rPr>
        <w:t>,00</w:t>
      </w:r>
      <w:r w:rsidRPr="00A15EDA">
        <w:rPr>
          <w:color w:val="auto"/>
          <w:sz w:val="20"/>
          <w:szCs w:val="20"/>
        </w:rPr>
        <w:t>,</w:t>
      </w:r>
      <w:r w:rsidRPr="00A15EDA">
        <w:rPr>
          <w:sz w:val="20"/>
          <w:szCs w:val="20"/>
        </w:rPr>
        <w:t xml:space="preserve"> compresa IVA al 22%</w:t>
      </w:r>
      <w:r w:rsidR="00055188">
        <w:rPr>
          <w:sz w:val="20"/>
          <w:szCs w:val="20"/>
        </w:rPr>
        <w:t xml:space="preserve"> oltre a euro 600,00 per le s</w:t>
      </w:r>
      <w:r w:rsidR="00F902D7">
        <w:rPr>
          <w:sz w:val="20"/>
          <w:szCs w:val="20"/>
        </w:rPr>
        <w:t>pese tecniche</w:t>
      </w:r>
      <w:r w:rsidRPr="00A15EDA">
        <w:rPr>
          <w:sz w:val="20"/>
          <w:szCs w:val="20"/>
        </w:rPr>
        <w:t xml:space="preserve">, con imputazione agli strumenti contabili nei termini </w:t>
      </w:r>
      <w:r w:rsidR="00F174C9" w:rsidRPr="00A15EDA">
        <w:rPr>
          <w:sz w:val="20"/>
          <w:szCs w:val="20"/>
        </w:rPr>
        <w:t>sottoindicati</w:t>
      </w:r>
      <w:r w:rsidRPr="00A15EDA">
        <w:rPr>
          <w:sz w:val="20"/>
          <w:szCs w:val="20"/>
        </w:rPr>
        <w:t xml:space="preserve"> in ragione dell’esigibilità delle relative obbligazioni passive a carico dell’amministrazione comunale:</w:t>
      </w:r>
    </w:p>
    <w:p w14:paraId="1D1295A5" w14:textId="302E7F0C" w:rsidR="00A9473C" w:rsidRPr="00A9473C" w:rsidRDefault="00665426" w:rsidP="00A9473C">
      <w:pPr>
        <w:pStyle w:val="Paragrafoelenco"/>
        <w:tabs>
          <w:tab w:val="left" w:pos="567"/>
          <w:tab w:val="left" w:pos="720"/>
        </w:tabs>
        <w:spacing w:before="120"/>
        <w:ind w:left="1004"/>
        <w:rPr>
          <w:rFonts w:eastAsia="Calibri"/>
          <w:bCs/>
          <w:color w:val="000000"/>
          <w:sz w:val="20"/>
          <w:lang w:eastAsia="en-US"/>
        </w:rPr>
      </w:pPr>
      <w:r>
        <w:rPr>
          <w:rFonts w:eastAsia="Calibri"/>
          <w:bCs/>
          <w:color w:val="000000"/>
          <w:sz w:val="20"/>
          <w:lang w:eastAsia="en-US"/>
        </w:rPr>
        <w:t xml:space="preserve">- </w:t>
      </w:r>
      <w:r w:rsidR="00A9473C" w:rsidRPr="00A9473C">
        <w:rPr>
          <w:rFonts w:eastAsia="Calibri"/>
          <w:bCs/>
          <w:color w:val="000000"/>
          <w:sz w:val="20"/>
          <w:lang w:eastAsia="en-US"/>
        </w:rPr>
        <w:t>Bilancio di previsione 2021</w:t>
      </w:r>
      <w:r w:rsidR="00A9473C">
        <w:rPr>
          <w:rFonts w:eastAsia="Calibri"/>
          <w:bCs/>
          <w:color w:val="000000"/>
          <w:sz w:val="20"/>
          <w:lang w:eastAsia="en-US"/>
        </w:rPr>
        <w:t>;</w:t>
      </w:r>
      <w:r w:rsidR="00A9473C" w:rsidRPr="00A9473C">
        <w:rPr>
          <w:rFonts w:eastAsia="Calibri"/>
          <w:bCs/>
          <w:color w:val="000000"/>
          <w:sz w:val="20"/>
          <w:lang w:eastAsia="en-US"/>
        </w:rPr>
        <w:t xml:space="preserve"> </w:t>
      </w:r>
    </w:p>
    <w:p w14:paraId="5BF9FFE2" w14:textId="77AE1561" w:rsidR="00665426" w:rsidRPr="00A9473C" w:rsidRDefault="00665426" w:rsidP="00665426">
      <w:pPr>
        <w:pStyle w:val="Paragrafoelenco"/>
        <w:spacing w:before="120"/>
        <w:ind w:left="1004"/>
        <w:rPr>
          <w:rFonts w:eastAsia="Calibri"/>
          <w:bCs/>
          <w:color w:val="000000"/>
          <w:sz w:val="20"/>
          <w:lang w:eastAsia="en-US"/>
        </w:rPr>
      </w:pPr>
      <w:r w:rsidRPr="00A9473C">
        <w:rPr>
          <w:rFonts w:eastAsia="Calibri"/>
          <w:bCs/>
          <w:color w:val="000000"/>
          <w:sz w:val="20"/>
          <w:lang w:eastAsia="en-US"/>
        </w:rPr>
        <w:t>- P.E.G.: capitolo 29765</w:t>
      </w:r>
      <w:r>
        <w:rPr>
          <w:rFonts w:eastAsia="Calibri"/>
          <w:bCs/>
          <w:color w:val="000000"/>
          <w:sz w:val="20"/>
          <w:lang w:eastAsia="en-US"/>
        </w:rPr>
        <w:t>:</w:t>
      </w:r>
    </w:p>
    <w:p w14:paraId="6D03A784" w14:textId="77777777" w:rsidR="00A9473C" w:rsidRPr="00A9473C" w:rsidRDefault="00A9473C" w:rsidP="00665426">
      <w:pPr>
        <w:pStyle w:val="Paragrafoelenco"/>
        <w:autoSpaceDE w:val="0"/>
        <w:autoSpaceDN w:val="0"/>
        <w:adjustRightInd w:val="0"/>
        <w:spacing w:before="120"/>
        <w:ind w:left="1276"/>
        <w:rPr>
          <w:rFonts w:eastAsia="Calibri"/>
          <w:bCs/>
          <w:color w:val="000000"/>
          <w:sz w:val="20"/>
          <w:lang w:eastAsia="en-US"/>
        </w:rPr>
      </w:pPr>
      <w:r w:rsidRPr="00A9473C">
        <w:rPr>
          <w:rFonts w:eastAsia="Calibri"/>
          <w:bCs/>
          <w:color w:val="000000"/>
          <w:sz w:val="20"/>
          <w:lang w:eastAsia="en-US"/>
        </w:rPr>
        <w:t>- € 36.600,00 importo appalto compreso Iva 22%;</w:t>
      </w:r>
    </w:p>
    <w:p w14:paraId="403E6538" w14:textId="77777777" w:rsidR="00A9473C" w:rsidRPr="00A9473C" w:rsidRDefault="00A9473C" w:rsidP="00665426">
      <w:pPr>
        <w:pStyle w:val="Paragrafoelenco"/>
        <w:autoSpaceDE w:val="0"/>
        <w:autoSpaceDN w:val="0"/>
        <w:adjustRightInd w:val="0"/>
        <w:ind w:left="1276"/>
        <w:rPr>
          <w:rFonts w:eastAsia="Calibri"/>
          <w:bCs/>
          <w:color w:val="000000"/>
          <w:sz w:val="20"/>
          <w:lang w:eastAsia="en-US"/>
        </w:rPr>
      </w:pPr>
      <w:r w:rsidRPr="00A9473C">
        <w:rPr>
          <w:rFonts w:eastAsia="Calibri"/>
          <w:bCs/>
          <w:color w:val="000000"/>
          <w:sz w:val="20"/>
          <w:lang w:eastAsia="en-US"/>
        </w:rPr>
        <w:t>- €      600,00 oneri per la progettazione e D.L. non soggetta a IVA;</w:t>
      </w:r>
    </w:p>
    <w:p w14:paraId="06E27438" w14:textId="77777777" w:rsidR="00B37582" w:rsidRDefault="00B37582">
      <w:pPr>
        <w:spacing w:line="360" w:lineRule="auto"/>
        <w:ind w:right="-716"/>
        <w:jc w:val="center"/>
        <w:rPr>
          <w:rFonts w:ascii="Arial" w:hAnsi="Arial" w:cs="Arial"/>
          <w:b/>
          <w:bCs/>
          <w:color w:val="000000"/>
        </w:rPr>
      </w:pPr>
    </w:p>
    <w:p w14:paraId="38913814" w14:textId="77777777" w:rsidR="00B37582" w:rsidRPr="00A15EDA" w:rsidRDefault="00DF1533">
      <w:pPr>
        <w:spacing w:line="360" w:lineRule="auto"/>
        <w:ind w:right="-716"/>
        <w:jc w:val="center"/>
        <w:rPr>
          <w:rFonts w:ascii="Arial" w:hAnsi="Arial" w:cs="Arial"/>
          <w:b/>
          <w:bCs/>
          <w:color w:val="000000"/>
        </w:rPr>
      </w:pPr>
      <w:r w:rsidRPr="00A15EDA">
        <w:rPr>
          <w:rFonts w:ascii="Arial" w:hAnsi="Arial" w:cs="Arial"/>
          <w:b/>
          <w:bCs/>
          <w:color w:val="000000"/>
        </w:rPr>
        <w:t>D E T E R M I N A</w:t>
      </w:r>
    </w:p>
    <w:p w14:paraId="3621166C" w14:textId="77777777" w:rsidR="00B37582" w:rsidRPr="00A15EDA" w:rsidRDefault="00DF1533">
      <w:pPr>
        <w:spacing w:before="120"/>
        <w:rPr>
          <w:rFonts w:ascii="Arial" w:hAnsi="Arial" w:cs="Arial"/>
        </w:rPr>
      </w:pPr>
      <w:r w:rsidRPr="00A15EDA">
        <w:rPr>
          <w:rFonts w:ascii="Arial" w:hAnsi="Arial" w:cs="Arial"/>
          <w:b/>
          <w:bCs/>
          <w:color w:val="000000"/>
        </w:rPr>
        <w:t xml:space="preserve">di </w:t>
      </w:r>
      <w:r w:rsidRPr="00A15EDA">
        <w:rPr>
          <w:rFonts w:ascii="Arial" w:hAnsi="Arial" w:cs="Arial"/>
          <w:b/>
          <w:bCs/>
        </w:rPr>
        <w:t>fare propria attribuendole efficacia esterna e dunque di approvare ad ogni fine di legge</w:t>
      </w:r>
      <w:r w:rsidRPr="00A15EDA">
        <w:rPr>
          <w:rFonts w:ascii="Arial" w:hAnsi="Arial" w:cs="Arial"/>
        </w:rPr>
        <w:t xml:space="preserve"> la proposta di determinazione predisposta dal Responsabile del procedimento meglio evidenziata in preambolo, che stabilisce:</w:t>
      </w:r>
    </w:p>
    <w:p w14:paraId="2E65FC83" w14:textId="77777777" w:rsidR="00B37582" w:rsidRPr="00A15EDA" w:rsidRDefault="00B37582">
      <w:pPr>
        <w:pStyle w:val="Default"/>
        <w:ind w:left="1004"/>
        <w:jc w:val="both"/>
        <w:rPr>
          <w:sz w:val="20"/>
          <w:szCs w:val="20"/>
        </w:rPr>
      </w:pPr>
    </w:p>
    <w:p w14:paraId="1BC21B2F" w14:textId="032FE079" w:rsidR="00E4644A" w:rsidRPr="00E4644A" w:rsidRDefault="00A9473C" w:rsidP="00D33D3C">
      <w:pPr>
        <w:pStyle w:val="Default"/>
        <w:numPr>
          <w:ilvl w:val="3"/>
          <w:numId w:val="1"/>
        </w:numPr>
        <w:tabs>
          <w:tab w:val="num" w:pos="1276"/>
        </w:tabs>
        <w:spacing w:before="120"/>
        <w:ind w:left="1276" w:hanging="357"/>
        <w:jc w:val="both"/>
        <w:rPr>
          <w:bCs/>
          <w:sz w:val="20"/>
          <w:szCs w:val="20"/>
        </w:rPr>
      </w:pPr>
      <w:r w:rsidRPr="00A9473C">
        <w:rPr>
          <w:b/>
          <w:bCs/>
          <w:sz w:val="20"/>
          <w:szCs w:val="20"/>
        </w:rPr>
        <w:t>di assumere</w:t>
      </w:r>
      <w:r w:rsidRPr="00A9473C">
        <w:rPr>
          <w:sz w:val="20"/>
          <w:szCs w:val="20"/>
        </w:rPr>
        <w:t xml:space="preserve"> la prevista determinazione </w:t>
      </w:r>
      <w:r w:rsidR="00250784">
        <w:rPr>
          <w:sz w:val="20"/>
          <w:szCs w:val="20"/>
        </w:rPr>
        <w:t>a contrarre</w:t>
      </w:r>
      <w:r w:rsidRPr="00A9473C">
        <w:rPr>
          <w:sz w:val="20"/>
          <w:szCs w:val="20"/>
        </w:rPr>
        <w:t>, propedeutica all’avvio della procedura di appalto</w:t>
      </w:r>
      <w:r w:rsidR="00E4644A" w:rsidRPr="00A9473C">
        <w:rPr>
          <w:sz w:val="20"/>
          <w:szCs w:val="20"/>
        </w:rPr>
        <w:t>,</w:t>
      </w:r>
      <w:r w:rsidR="00E4644A" w:rsidRPr="00E4644A">
        <w:rPr>
          <w:bCs/>
          <w:sz w:val="20"/>
          <w:szCs w:val="20"/>
        </w:rPr>
        <w:t xml:space="preserve"> mediante </w:t>
      </w:r>
      <w:r w:rsidR="00B86314">
        <w:rPr>
          <w:bCs/>
          <w:sz w:val="20"/>
          <w:szCs w:val="20"/>
        </w:rPr>
        <w:t>affidamento diretto</w:t>
      </w:r>
      <w:r w:rsidR="00E4644A" w:rsidRPr="00E4644A">
        <w:rPr>
          <w:bCs/>
          <w:sz w:val="20"/>
          <w:szCs w:val="20"/>
        </w:rPr>
        <w:t xml:space="preserve">, di cui all’art. 36, comma 2, lett. </w:t>
      </w:r>
      <w:r w:rsidR="00B86314">
        <w:rPr>
          <w:bCs/>
          <w:sz w:val="20"/>
          <w:szCs w:val="20"/>
        </w:rPr>
        <w:t>a</w:t>
      </w:r>
      <w:r w:rsidR="00E4644A" w:rsidRPr="00E4644A">
        <w:rPr>
          <w:bCs/>
          <w:sz w:val="20"/>
          <w:szCs w:val="20"/>
        </w:rPr>
        <w:t xml:space="preserve">) del D.Lgs. 18/04/2016, n. 50, </w:t>
      </w:r>
      <w:r w:rsidR="00F902D7" w:rsidRPr="002E0F29">
        <w:rPr>
          <w:sz w:val="20"/>
        </w:rPr>
        <w:t xml:space="preserve">come modificato dall’art. 1 </w:t>
      </w:r>
      <w:r w:rsidR="00F902D7">
        <w:rPr>
          <w:sz w:val="20"/>
        </w:rPr>
        <w:t>comma 5 bis della Legge 11.09.2020 n. 120 e dall’art. 51 della Legge 29.07.2021 n. 108</w:t>
      </w:r>
      <w:r w:rsidR="00E4644A" w:rsidRPr="00E4644A">
        <w:rPr>
          <w:bCs/>
          <w:sz w:val="20"/>
          <w:szCs w:val="20"/>
        </w:rPr>
        <w:t xml:space="preserve">, previa consultazione di n. </w:t>
      </w:r>
      <w:r w:rsidR="00B86314">
        <w:rPr>
          <w:bCs/>
          <w:sz w:val="20"/>
          <w:szCs w:val="20"/>
        </w:rPr>
        <w:t>1</w:t>
      </w:r>
      <w:r w:rsidR="00E4644A" w:rsidRPr="00E4644A">
        <w:rPr>
          <w:bCs/>
          <w:sz w:val="20"/>
          <w:szCs w:val="20"/>
        </w:rPr>
        <w:t xml:space="preserve"> operator</w:t>
      </w:r>
      <w:r w:rsidR="00B86314">
        <w:rPr>
          <w:bCs/>
          <w:sz w:val="20"/>
          <w:szCs w:val="20"/>
        </w:rPr>
        <w:t>e</w:t>
      </w:r>
      <w:r w:rsidR="00E4644A" w:rsidRPr="00E4644A">
        <w:rPr>
          <w:bCs/>
          <w:sz w:val="20"/>
          <w:szCs w:val="20"/>
        </w:rPr>
        <w:t xml:space="preserve"> economic</w:t>
      </w:r>
      <w:r w:rsidR="00B86314">
        <w:rPr>
          <w:bCs/>
          <w:sz w:val="20"/>
          <w:szCs w:val="20"/>
        </w:rPr>
        <w:t>o</w:t>
      </w:r>
      <w:r w:rsidR="00E4644A" w:rsidRPr="00E4644A">
        <w:rPr>
          <w:bCs/>
          <w:sz w:val="20"/>
          <w:szCs w:val="20"/>
        </w:rPr>
        <w:t xml:space="preserve"> idone</w:t>
      </w:r>
      <w:r w:rsidR="00B86314">
        <w:rPr>
          <w:bCs/>
          <w:sz w:val="20"/>
          <w:szCs w:val="20"/>
        </w:rPr>
        <w:t>o</w:t>
      </w:r>
      <w:r w:rsidR="00E4644A" w:rsidRPr="00E4644A">
        <w:rPr>
          <w:bCs/>
          <w:sz w:val="20"/>
          <w:szCs w:val="20"/>
        </w:rPr>
        <w:t xml:space="preserve"> allo svolgimento delle particolari lavorazioni di cui si compone l’intervento ed in possesso delle necessarie qualifiche tecniche di natura specialistica, nel rispetto dei principi generali della fonte di regolazione, con particolare riguardo al principio di rotazione, la cui identità rimarrà secretata sino alla scadenza del termine per la presentazione dell</w:t>
      </w:r>
      <w:r w:rsidR="00D10F88">
        <w:rPr>
          <w:bCs/>
          <w:sz w:val="20"/>
          <w:szCs w:val="20"/>
        </w:rPr>
        <w:t>’</w:t>
      </w:r>
      <w:r w:rsidR="00E4644A" w:rsidRPr="00E4644A">
        <w:rPr>
          <w:bCs/>
          <w:sz w:val="20"/>
          <w:szCs w:val="20"/>
        </w:rPr>
        <w:t xml:space="preserve"> offert</w:t>
      </w:r>
      <w:r w:rsidR="00D10F88">
        <w:rPr>
          <w:bCs/>
          <w:sz w:val="20"/>
          <w:szCs w:val="20"/>
        </w:rPr>
        <w:t>a</w:t>
      </w:r>
      <w:r w:rsidR="00E4644A" w:rsidRPr="00E4644A">
        <w:rPr>
          <w:bCs/>
          <w:sz w:val="20"/>
          <w:szCs w:val="20"/>
        </w:rPr>
        <w:t xml:space="preserve"> ex art. 53, comma 2, </w:t>
      </w:r>
      <w:proofErr w:type="spellStart"/>
      <w:r w:rsidR="00E4644A" w:rsidRPr="00E4644A">
        <w:rPr>
          <w:bCs/>
          <w:sz w:val="20"/>
          <w:szCs w:val="20"/>
        </w:rPr>
        <w:t>lett</w:t>
      </w:r>
      <w:proofErr w:type="spellEnd"/>
      <w:r w:rsidR="00E4644A" w:rsidRPr="00E4644A">
        <w:rPr>
          <w:bCs/>
          <w:sz w:val="20"/>
          <w:szCs w:val="20"/>
        </w:rPr>
        <w:t xml:space="preserve"> b) del D.Lgs. 18/04/2016, n. 50;</w:t>
      </w:r>
    </w:p>
    <w:p w14:paraId="4970AA14" w14:textId="64CE1183" w:rsidR="00B37582" w:rsidRPr="0006053D" w:rsidRDefault="00AB2141" w:rsidP="0006053D">
      <w:pPr>
        <w:pStyle w:val="Paragrafoelenco"/>
        <w:numPr>
          <w:ilvl w:val="3"/>
          <w:numId w:val="1"/>
        </w:numPr>
        <w:tabs>
          <w:tab w:val="num" w:pos="1276"/>
        </w:tabs>
        <w:autoSpaceDE w:val="0"/>
        <w:autoSpaceDN w:val="0"/>
        <w:adjustRightInd w:val="0"/>
        <w:spacing w:before="120"/>
        <w:ind w:left="1276" w:hanging="357"/>
        <w:jc w:val="both"/>
        <w:rPr>
          <w:rFonts w:eastAsia="Calibri"/>
          <w:bCs/>
          <w:color w:val="000000"/>
          <w:sz w:val="20"/>
          <w:lang w:eastAsia="en-US"/>
        </w:rPr>
      </w:pPr>
      <w:r w:rsidRPr="0006053D">
        <w:rPr>
          <w:rFonts w:eastAsia="Calibri"/>
          <w:b/>
          <w:bCs/>
          <w:color w:val="000000"/>
          <w:sz w:val="20"/>
          <w:lang w:eastAsia="en-US"/>
        </w:rPr>
        <w:t>di assumere</w:t>
      </w:r>
      <w:r w:rsidR="00DF1533" w:rsidRPr="0006053D">
        <w:rPr>
          <w:rFonts w:eastAsia="Calibri"/>
          <w:bCs/>
          <w:color w:val="000000"/>
          <w:sz w:val="20"/>
          <w:lang w:eastAsia="en-US"/>
        </w:rPr>
        <w:t xml:space="preserve"> ai sensi dell’art. 183, comma </w:t>
      </w:r>
      <w:r w:rsidR="00A9473C">
        <w:rPr>
          <w:rFonts w:eastAsia="Calibri"/>
          <w:bCs/>
          <w:color w:val="000000"/>
          <w:sz w:val="20"/>
          <w:lang w:eastAsia="en-US"/>
        </w:rPr>
        <w:t>1</w:t>
      </w:r>
      <w:r w:rsidR="00DF1533" w:rsidRPr="0006053D">
        <w:rPr>
          <w:rFonts w:eastAsia="Calibri"/>
          <w:bCs/>
          <w:color w:val="000000"/>
          <w:sz w:val="20"/>
          <w:lang w:eastAsia="en-US"/>
        </w:rPr>
        <w:t xml:space="preserve"> del </w:t>
      </w:r>
      <w:r w:rsidR="00F33592" w:rsidRPr="0006053D">
        <w:rPr>
          <w:rFonts w:eastAsia="Calibri"/>
          <w:bCs/>
          <w:color w:val="000000"/>
          <w:sz w:val="20"/>
          <w:lang w:eastAsia="en-US"/>
        </w:rPr>
        <w:t>D</w:t>
      </w:r>
      <w:r w:rsidR="00DF1533" w:rsidRPr="0006053D">
        <w:rPr>
          <w:rFonts w:eastAsia="Calibri"/>
          <w:bCs/>
          <w:color w:val="000000"/>
          <w:sz w:val="20"/>
          <w:lang w:eastAsia="en-US"/>
        </w:rPr>
        <w:t>.</w:t>
      </w:r>
      <w:r w:rsidR="00243E2F" w:rsidRPr="0006053D">
        <w:rPr>
          <w:rFonts w:eastAsia="Calibri"/>
          <w:bCs/>
          <w:color w:val="000000"/>
          <w:sz w:val="20"/>
          <w:lang w:eastAsia="en-US"/>
        </w:rPr>
        <w:t>L</w:t>
      </w:r>
      <w:r w:rsidR="00DF1533" w:rsidRPr="0006053D">
        <w:rPr>
          <w:rFonts w:eastAsia="Calibri"/>
          <w:bCs/>
          <w:color w:val="000000"/>
          <w:sz w:val="20"/>
          <w:lang w:eastAsia="en-US"/>
        </w:rPr>
        <w:t>gs</w:t>
      </w:r>
      <w:r w:rsidR="00243E2F" w:rsidRPr="0006053D">
        <w:rPr>
          <w:rFonts w:eastAsia="Calibri"/>
          <w:bCs/>
          <w:color w:val="000000"/>
          <w:sz w:val="20"/>
          <w:lang w:eastAsia="en-US"/>
        </w:rPr>
        <w:t>.</w:t>
      </w:r>
      <w:r w:rsidR="00DF1533" w:rsidRPr="0006053D">
        <w:rPr>
          <w:rFonts w:eastAsia="Calibri"/>
          <w:bCs/>
          <w:color w:val="000000"/>
          <w:sz w:val="20"/>
          <w:lang w:eastAsia="en-US"/>
        </w:rPr>
        <w:t xml:space="preserve"> 18/08/2000, n. 267 l’impegno di spesa per l’importo complessivo di €.</w:t>
      </w:r>
      <w:r w:rsidR="00A91156" w:rsidRPr="0006053D">
        <w:rPr>
          <w:rFonts w:eastAsia="Calibri"/>
          <w:bCs/>
          <w:color w:val="000000"/>
          <w:sz w:val="20"/>
          <w:lang w:eastAsia="en-US"/>
        </w:rPr>
        <w:t xml:space="preserve"> </w:t>
      </w:r>
      <w:r w:rsidR="004F0E8B">
        <w:rPr>
          <w:rFonts w:eastAsia="Calibri"/>
          <w:bCs/>
          <w:color w:val="000000"/>
          <w:sz w:val="20"/>
          <w:lang w:eastAsia="en-US"/>
        </w:rPr>
        <w:t>3</w:t>
      </w:r>
      <w:r w:rsidR="00A0173F">
        <w:rPr>
          <w:rFonts w:eastAsia="Calibri"/>
          <w:bCs/>
          <w:color w:val="000000"/>
          <w:sz w:val="20"/>
          <w:lang w:eastAsia="en-US"/>
        </w:rPr>
        <w:t>7</w:t>
      </w:r>
      <w:r w:rsidRPr="0006053D">
        <w:rPr>
          <w:rFonts w:eastAsia="Calibri"/>
          <w:bCs/>
          <w:color w:val="000000"/>
          <w:sz w:val="20"/>
          <w:lang w:eastAsia="en-US"/>
        </w:rPr>
        <w:t>.</w:t>
      </w:r>
      <w:r w:rsidR="00A0173F">
        <w:rPr>
          <w:rFonts w:eastAsia="Calibri"/>
          <w:bCs/>
          <w:color w:val="000000"/>
          <w:sz w:val="20"/>
          <w:lang w:eastAsia="en-US"/>
        </w:rPr>
        <w:t>2</w:t>
      </w:r>
      <w:r w:rsidRPr="0006053D">
        <w:rPr>
          <w:rFonts w:eastAsia="Calibri"/>
          <w:bCs/>
          <w:color w:val="000000"/>
          <w:sz w:val="20"/>
          <w:lang w:eastAsia="en-US"/>
        </w:rPr>
        <w:t>00</w:t>
      </w:r>
      <w:r w:rsidR="00A15EDA" w:rsidRPr="0006053D">
        <w:rPr>
          <w:rFonts w:eastAsia="Calibri"/>
          <w:bCs/>
          <w:color w:val="000000"/>
          <w:sz w:val="20"/>
          <w:lang w:eastAsia="en-US"/>
        </w:rPr>
        <w:t>,00</w:t>
      </w:r>
      <w:r w:rsidR="00DF1533" w:rsidRPr="0006053D">
        <w:rPr>
          <w:rFonts w:eastAsia="Calibri"/>
          <w:bCs/>
          <w:color w:val="000000"/>
          <w:sz w:val="20"/>
          <w:lang w:eastAsia="en-US"/>
        </w:rPr>
        <w:t xml:space="preserve">, compresa IVA al 22%, con imputazione agli strumenti contabili nei termini </w:t>
      </w:r>
      <w:proofErr w:type="gramStart"/>
      <w:r w:rsidR="00DF1533" w:rsidRPr="0006053D">
        <w:rPr>
          <w:rFonts w:eastAsia="Calibri"/>
          <w:bCs/>
          <w:color w:val="000000"/>
          <w:sz w:val="20"/>
          <w:lang w:eastAsia="en-US"/>
        </w:rPr>
        <w:t>sotto indicati</w:t>
      </w:r>
      <w:proofErr w:type="gramEnd"/>
      <w:r w:rsidR="00DF1533" w:rsidRPr="0006053D">
        <w:rPr>
          <w:rFonts w:eastAsia="Calibri"/>
          <w:bCs/>
          <w:color w:val="000000"/>
          <w:sz w:val="20"/>
          <w:lang w:eastAsia="en-US"/>
        </w:rPr>
        <w:t xml:space="preserve"> in ragione dell’esigibilità delle relative obbligazioni passive a carico dell’amministrazione comunale:</w:t>
      </w:r>
    </w:p>
    <w:p w14:paraId="6DF9BD21" w14:textId="77777777" w:rsidR="00665426" w:rsidRPr="00A9473C" w:rsidRDefault="00665426" w:rsidP="00665426">
      <w:pPr>
        <w:pStyle w:val="Paragrafoelenco"/>
        <w:tabs>
          <w:tab w:val="left" w:pos="567"/>
          <w:tab w:val="left" w:pos="720"/>
        </w:tabs>
        <w:spacing w:before="120"/>
        <w:ind w:left="1004"/>
        <w:rPr>
          <w:rFonts w:eastAsia="Calibri"/>
          <w:bCs/>
          <w:color w:val="000000"/>
          <w:sz w:val="20"/>
          <w:lang w:eastAsia="en-US"/>
        </w:rPr>
      </w:pPr>
      <w:r>
        <w:rPr>
          <w:rFonts w:eastAsia="Calibri"/>
          <w:bCs/>
          <w:color w:val="000000"/>
          <w:sz w:val="20"/>
          <w:lang w:eastAsia="en-US"/>
        </w:rPr>
        <w:t xml:space="preserve">- </w:t>
      </w:r>
      <w:r w:rsidRPr="00A9473C">
        <w:rPr>
          <w:rFonts w:eastAsia="Calibri"/>
          <w:bCs/>
          <w:color w:val="000000"/>
          <w:sz w:val="20"/>
          <w:lang w:eastAsia="en-US"/>
        </w:rPr>
        <w:t>Bilancio di previsione 2021</w:t>
      </w:r>
      <w:r>
        <w:rPr>
          <w:rFonts w:eastAsia="Calibri"/>
          <w:bCs/>
          <w:color w:val="000000"/>
          <w:sz w:val="20"/>
          <w:lang w:eastAsia="en-US"/>
        </w:rPr>
        <w:t>;</w:t>
      </w:r>
      <w:r w:rsidRPr="00A9473C">
        <w:rPr>
          <w:rFonts w:eastAsia="Calibri"/>
          <w:bCs/>
          <w:color w:val="000000"/>
          <w:sz w:val="20"/>
          <w:lang w:eastAsia="en-US"/>
        </w:rPr>
        <w:t xml:space="preserve"> </w:t>
      </w:r>
    </w:p>
    <w:p w14:paraId="20D97DBF" w14:textId="77777777" w:rsidR="00665426" w:rsidRPr="00A9473C" w:rsidRDefault="00665426" w:rsidP="00665426">
      <w:pPr>
        <w:pStyle w:val="Paragrafoelenco"/>
        <w:spacing w:before="120"/>
        <w:ind w:left="1004"/>
        <w:rPr>
          <w:rFonts w:eastAsia="Calibri"/>
          <w:bCs/>
          <w:color w:val="000000"/>
          <w:sz w:val="20"/>
          <w:lang w:eastAsia="en-US"/>
        </w:rPr>
      </w:pPr>
      <w:r w:rsidRPr="00A9473C">
        <w:rPr>
          <w:rFonts w:eastAsia="Calibri"/>
          <w:bCs/>
          <w:color w:val="000000"/>
          <w:sz w:val="20"/>
          <w:lang w:eastAsia="en-US"/>
        </w:rPr>
        <w:t>- P.E.G.: capitolo 29765</w:t>
      </w:r>
      <w:r>
        <w:rPr>
          <w:rFonts w:eastAsia="Calibri"/>
          <w:bCs/>
          <w:color w:val="000000"/>
          <w:sz w:val="20"/>
          <w:lang w:eastAsia="en-US"/>
        </w:rPr>
        <w:t>:</w:t>
      </w:r>
    </w:p>
    <w:p w14:paraId="52B9CB72" w14:textId="77777777" w:rsidR="00665426" w:rsidRPr="00A9473C" w:rsidRDefault="00665426" w:rsidP="00665426">
      <w:pPr>
        <w:pStyle w:val="Paragrafoelenco"/>
        <w:autoSpaceDE w:val="0"/>
        <w:autoSpaceDN w:val="0"/>
        <w:adjustRightInd w:val="0"/>
        <w:spacing w:before="120"/>
        <w:ind w:left="1276"/>
        <w:rPr>
          <w:rFonts w:eastAsia="Calibri"/>
          <w:bCs/>
          <w:color w:val="000000"/>
          <w:sz w:val="20"/>
          <w:lang w:eastAsia="en-US"/>
        </w:rPr>
      </w:pPr>
      <w:r w:rsidRPr="00A9473C">
        <w:rPr>
          <w:rFonts w:eastAsia="Calibri"/>
          <w:bCs/>
          <w:color w:val="000000"/>
          <w:sz w:val="20"/>
          <w:lang w:eastAsia="en-US"/>
        </w:rPr>
        <w:lastRenderedPageBreak/>
        <w:t>- € 36.600,00 importo appalto compreso Iva 22%;</w:t>
      </w:r>
    </w:p>
    <w:p w14:paraId="3CBEC40F" w14:textId="77777777" w:rsidR="00665426" w:rsidRPr="00A9473C" w:rsidRDefault="00665426" w:rsidP="00665426">
      <w:pPr>
        <w:pStyle w:val="Paragrafoelenco"/>
        <w:autoSpaceDE w:val="0"/>
        <w:autoSpaceDN w:val="0"/>
        <w:adjustRightInd w:val="0"/>
        <w:ind w:left="1276"/>
        <w:rPr>
          <w:rFonts w:eastAsia="Calibri"/>
          <w:bCs/>
          <w:color w:val="000000"/>
          <w:sz w:val="20"/>
          <w:lang w:eastAsia="en-US"/>
        </w:rPr>
      </w:pPr>
      <w:r w:rsidRPr="00A9473C">
        <w:rPr>
          <w:rFonts w:eastAsia="Calibri"/>
          <w:bCs/>
          <w:color w:val="000000"/>
          <w:sz w:val="20"/>
          <w:lang w:eastAsia="en-US"/>
        </w:rPr>
        <w:t>- €      600,00 oneri per la progettazione e D.L. non soggetta a IVA;</w:t>
      </w:r>
    </w:p>
    <w:p w14:paraId="769B2D02" w14:textId="4B8D0C31" w:rsidR="00B37582" w:rsidRDefault="00B37582">
      <w:pPr>
        <w:pStyle w:val="Paragrafoelenco"/>
        <w:spacing w:before="120"/>
        <w:contextualSpacing/>
        <w:jc w:val="both"/>
        <w:rPr>
          <w:color w:val="000000"/>
          <w:sz w:val="20"/>
        </w:rPr>
      </w:pPr>
    </w:p>
    <w:p w14:paraId="7D199A39" w14:textId="5A3E8886" w:rsidR="00C338F7" w:rsidRDefault="00C338F7">
      <w:pPr>
        <w:pStyle w:val="Paragrafoelenco"/>
        <w:spacing w:before="120"/>
        <w:contextualSpacing/>
        <w:jc w:val="both"/>
        <w:rPr>
          <w:color w:val="000000"/>
          <w:sz w:val="20"/>
        </w:rPr>
      </w:pPr>
    </w:p>
    <w:p w14:paraId="2C08546C" w14:textId="569B819C" w:rsidR="00C338F7" w:rsidRDefault="00C338F7">
      <w:pPr>
        <w:pStyle w:val="Paragrafoelenco"/>
        <w:spacing w:before="120"/>
        <w:contextualSpacing/>
        <w:jc w:val="both"/>
        <w:rPr>
          <w:color w:val="000000"/>
          <w:sz w:val="20"/>
        </w:rPr>
      </w:pPr>
    </w:p>
    <w:tbl>
      <w:tblPr>
        <w:tblW w:w="9889" w:type="dxa"/>
        <w:tblLook w:val="04A0" w:firstRow="1" w:lastRow="0" w:firstColumn="1" w:lastColumn="0" w:noHBand="0" w:noVBand="1"/>
      </w:tblPr>
      <w:tblGrid>
        <w:gridCol w:w="4944"/>
        <w:gridCol w:w="4945"/>
      </w:tblGrid>
      <w:tr w:rsidR="00C338F7" w14:paraId="36E0E176" w14:textId="77777777" w:rsidTr="00EE1974">
        <w:trPr>
          <w:trHeight w:val="378"/>
        </w:trPr>
        <w:tc>
          <w:tcPr>
            <w:tcW w:w="4944" w:type="dxa"/>
          </w:tcPr>
          <w:p w14:paraId="6DFC2E4E" w14:textId="77777777" w:rsidR="00C338F7" w:rsidRDefault="00C338F7" w:rsidP="00EE1974">
            <w:pPr>
              <w:pStyle w:val="Nessunaspaziatura"/>
              <w:spacing w:line="360" w:lineRule="auto"/>
              <w:rPr>
                <w:rFonts w:ascii="Arial" w:hAnsi="Arial" w:cs="Arial"/>
                <w:sz w:val="20"/>
              </w:rPr>
            </w:pPr>
            <w:r>
              <w:rPr>
                <w:rFonts w:ascii="Arial" w:hAnsi="Arial" w:cs="Arial"/>
                <w:sz w:val="20"/>
              </w:rPr>
              <w:t xml:space="preserve">Gallarate, </w:t>
            </w:r>
            <w:r>
              <w:rPr>
                <w:rFonts w:ascii="Arial" w:hAnsi="Arial" w:cs="Arial"/>
                <w:sz w:val="20"/>
              </w:rPr>
              <w:fldChar w:fldCharType="begin"/>
            </w:r>
            <w:r>
              <w:rPr>
                <w:rFonts w:ascii="Arial" w:hAnsi="Arial" w:cs="Arial"/>
                <w:sz w:val="20"/>
              </w:rPr>
              <w:instrText xml:space="preserve"> MERGEFIELD DATA_DETERMINA </w:instrText>
            </w:r>
            <w:r>
              <w:rPr>
                <w:rFonts w:ascii="Arial" w:hAnsi="Arial" w:cs="Arial"/>
                <w:sz w:val="20"/>
              </w:rPr>
              <w:fldChar w:fldCharType="separate"/>
            </w:r>
            <w:r>
              <w:rPr>
                <w:rFonts w:ascii="Arial" w:hAnsi="Arial" w:cs="Arial"/>
                <w:noProof/>
                <w:sz w:val="20"/>
              </w:rPr>
              <w:t>«DATA_DETERMINA»</w:t>
            </w:r>
            <w:r>
              <w:rPr>
                <w:rFonts w:ascii="Arial" w:hAnsi="Arial" w:cs="Arial"/>
                <w:sz w:val="20"/>
              </w:rPr>
              <w:fldChar w:fldCharType="end"/>
            </w:r>
          </w:p>
          <w:p w14:paraId="7E894A36" w14:textId="77777777" w:rsidR="00C338F7" w:rsidRDefault="00C338F7" w:rsidP="00EE1974">
            <w:pPr>
              <w:pStyle w:val="Nessunaspaziatura"/>
              <w:spacing w:line="360" w:lineRule="auto"/>
              <w:rPr>
                <w:rFonts w:ascii="Arial" w:hAnsi="Arial" w:cs="Arial"/>
                <w:sz w:val="20"/>
              </w:rPr>
            </w:pPr>
          </w:p>
        </w:tc>
        <w:tc>
          <w:tcPr>
            <w:tcW w:w="4945" w:type="dxa"/>
            <w:hideMark/>
          </w:tcPr>
          <w:p w14:paraId="73F0FEC3" w14:textId="77777777" w:rsidR="00C338F7" w:rsidRDefault="00C338F7" w:rsidP="00EE1974">
            <w:pPr>
              <w:pStyle w:val="Nessunaspaziatura"/>
              <w:jc w:val="center"/>
              <w:rPr>
                <w:rFonts w:ascii="Arial" w:hAnsi="Arial" w:cs="Arial"/>
                <w:b/>
                <w:sz w:val="20"/>
              </w:rPr>
            </w:pPr>
            <w:r>
              <w:rPr>
                <w:rFonts w:ascii="Arial" w:hAnsi="Arial" w:cs="Arial"/>
                <w:b/>
                <w:sz w:val="20"/>
              </w:rPr>
              <w:t>IL DIRIGENTE</w:t>
            </w:r>
          </w:p>
          <w:p w14:paraId="7F6A767F" w14:textId="77777777" w:rsidR="00C338F7" w:rsidRDefault="00C338F7" w:rsidP="00EE1974">
            <w:pPr>
              <w:pStyle w:val="Nessunaspaziatura"/>
              <w:spacing w:line="360" w:lineRule="auto"/>
              <w:jc w:val="center"/>
              <w:rPr>
                <w:rFonts w:ascii="Arial" w:hAnsi="Arial" w:cs="Arial"/>
                <w:sz w:val="20"/>
              </w:rPr>
            </w:pPr>
            <w:r>
              <w:rPr>
                <w:rFonts w:ascii="Arial" w:hAnsi="Arial" w:cs="Arial"/>
                <w:sz w:val="20"/>
              </w:rPr>
              <w:fldChar w:fldCharType="begin"/>
            </w:r>
            <w:r>
              <w:rPr>
                <w:rFonts w:ascii="Arial" w:hAnsi="Arial" w:cs="Arial"/>
                <w:sz w:val="20"/>
              </w:rPr>
              <w:instrText xml:space="preserve"> MERGEFIELD FIRMATARIO </w:instrText>
            </w:r>
            <w:r>
              <w:rPr>
                <w:rFonts w:ascii="Arial" w:hAnsi="Arial" w:cs="Arial"/>
                <w:sz w:val="20"/>
              </w:rPr>
              <w:fldChar w:fldCharType="separate"/>
            </w:r>
            <w:r>
              <w:rPr>
                <w:rFonts w:ascii="Arial" w:hAnsi="Arial" w:cs="Arial"/>
                <w:noProof/>
                <w:sz w:val="20"/>
              </w:rPr>
              <w:t>«FIRMATARIO»</w:t>
            </w:r>
            <w:r>
              <w:rPr>
                <w:rFonts w:ascii="Arial" w:hAnsi="Arial" w:cs="Arial"/>
                <w:sz w:val="20"/>
              </w:rPr>
              <w:fldChar w:fldCharType="end"/>
            </w:r>
          </w:p>
          <w:p w14:paraId="3250E97D" w14:textId="77777777" w:rsidR="00C338F7" w:rsidRDefault="00C338F7" w:rsidP="00EE1974">
            <w:pPr>
              <w:pStyle w:val="Nessunaspaziatura"/>
              <w:jc w:val="center"/>
              <w:rPr>
                <w:rFonts w:ascii="Arial" w:hAnsi="Arial" w:cs="Arial"/>
                <w:sz w:val="20"/>
              </w:rPr>
            </w:pPr>
            <w:r>
              <w:rPr>
                <w:rFonts w:ascii="Arial" w:hAnsi="Arial" w:cs="Arial"/>
                <w:sz w:val="20"/>
              </w:rPr>
              <w:t>(Sottoscritto digitalmente ai sensi</w:t>
            </w:r>
          </w:p>
          <w:p w14:paraId="651A23EB" w14:textId="647FC65D" w:rsidR="00C338F7" w:rsidRDefault="00C338F7" w:rsidP="00EE1974">
            <w:pPr>
              <w:pStyle w:val="Nessunaspaziatura"/>
              <w:spacing w:line="360" w:lineRule="auto"/>
              <w:jc w:val="center"/>
              <w:rPr>
                <w:rFonts w:ascii="Arial" w:hAnsi="Arial" w:cs="Arial"/>
                <w:sz w:val="20"/>
              </w:rPr>
            </w:pPr>
            <w:r>
              <w:rPr>
                <w:rFonts w:ascii="Arial" w:hAnsi="Arial" w:cs="Arial"/>
                <w:sz w:val="20"/>
              </w:rPr>
              <w:t>dell'art. 21 D.Lgs</w:t>
            </w:r>
            <w:r w:rsidR="00A0173F">
              <w:rPr>
                <w:rFonts w:ascii="Arial" w:hAnsi="Arial" w:cs="Arial"/>
                <w:sz w:val="20"/>
              </w:rPr>
              <w:t>.</w:t>
            </w:r>
            <w:r>
              <w:rPr>
                <w:rFonts w:ascii="Arial" w:hAnsi="Arial" w:cs="Arial"/>
                <w:sz w:val="20"/>
              </w:rPr>
              <w:t xml:space="preserve"> n 82/2005 e </w:t>
            </w:r>
            <w:proofErr w:type="spellStart"/>
            <w:r>
              <w:rPr>
                <w:rFonts w:ascii="Arial" w:hAnsi="Arial" w:cs="Arial"/>
                <w:sz w:val="20"/>
              </w:rPr>
              <w:t>s.m.i.</w:t>
            </w:r>
            <w:proofErr w:type="spellEnd"/>
            <w:r>
              <w:rPr>
                <w:rFonts w:ascii="Arial" w:hAnsi="Arial" w:cs="Arial"/>
                <w:sz w:val="20"/>
              </w:rPr>
              <w:t>)</w:t>
            </w:r>
          </w:p>
        </w:tc>
      </w:tr>
    </w:tbl>
    <w:p w14:paraId="3F7AE5F3" w14:textId="68D468C0" w:rsidR="00C338F7" w:rsidRDefault="00C338F7">
      <w:pPr>
        <w:pStyle w:val="Paragrafoelenco"/>
        <w:spacing w:before="120"/>
        <w:contextualSpacing/>
        <w:jc w:val="both"/>
        <w:rPr>
          <w:color w:val="000000"/>
          <w:sz w:val="20"/>
        </w:rPr>
      </w:pPr>
    </w:p>
    <w:p w14:paraId="3A1AA914" w14:textId="77777777" w:rsidR="00B37582" w:rsidRDefault="00B37582">
      <w:pPr>
        <w:pStyle w:val="Paragrafoelenco"/>
        <w:spacing w:before="120"/>
        <w:contextualSpacing/>
        <w:jc w:val="both"/>
        <w:rPr>
          <w:color w:val="000000"/>
          <w:sz w:val="20"/>
        </w:rPr>
      </w:pPr>
    </w:p>
    <w:bookmarkEnd w:id="0"/>
    <w:p w14:paraId="55B265E1" w14:textId="77777777" w:rsidR="00B37582" w:rsidRDefault="00B37582">
      <w:pPr>
        <w:contextualSpacing/>
      </w:pPr>
    </w:p>
    <w:sectPr w:rsidR="00B37582">
      <w:footerReference w:type="default" r:id="rId9"/>
      <w:pgSz w:w="11906" w:h="16838"/>
      <w:pgMar w:top="1418" w:right="1134" w:bottom="1134" w:left="1134" w:header="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A3006" w14:textId="77777777" w:rsidR="001A0878" w:rsidRDefault="001A0878">
      <w:r>
        <w:separator/>
      </w:r>
    </w:p>
  </w:endnote>
  <w:endnote w:type="continuationSeparator" w:id="0">
    <w:p w14:paraId="370D576B" w14:textId="77777777" w:rsidR="001A0878" w:rsidRDefault="001A0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9B66" w14:textId="77777777" w:rsidR="00B37582" w:rsidRDefault="00DF1533">
    <w:pPr>
      <w:pStyle w:val="Pidipagina"/>
      <w:jc w:val="right"/>
    </w:pPr>
    <w:r>
      <w:fldChar w:fldCharType="begin"/>
    </w:r>
    <w:r>
      <w:instrText>PAGE</w:instrText>
    </w:r>
    <w:r>
      <w:fldChar w:fldCharType="separate"/>
    </w:r>
    <w:r w:rsidR="0084766A">
      <w:rPr>
        <w:noProof/>
      </w:rPr>
      <w:t>4</w:t>
    </w:r>
    <w:r>
      <w:fldChar w:fldCharType="end"/>
    </w:r>
  </w:p>
  <w:p w14:paraId="422D836D" w14:textId="77777777" w:rsidR="00B37582" w:rsidRDefault="00B3758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EE319" w14:textId="77777777" w:rsidR="001A0878" w:rsidRDefault="001A0878">
      <w:r>
        <w:separator/>
      </w:r>
    </w:p>
  </w:footnote>
  <w:footnote w:type="continuationSeparator" w:id="0">
    <w:p w14:paraId="147A5DF5" w14:textId="77777777" w:rsidR="001A0878" w:rsidRDefault="001A08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bullet"/>
      <w:lvlText w:val="•"/>
      <w:lvlJc w:val="left"/>
      <w:pPr>
        <w:tabs>
          <w:tab w:val="num" w:pos="0"/>
        </w:tabs>
        <w:ind w:left="0" w:firstLine="0"/>
      </w:pPr>
      <w:rPr>
        <w:rFonts w:ascii="Times New Roman" w:hAnsi="Times New Roman" w:cs="Times New Roman"/>
        <w:sz w:val="22"/>
        <w:szCs w:val="22"/>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15:restartNumberingAfterBreak="0">
    <w:nsid w:val="0448776F"/>
    <w:multiLevelType w:val="multilevel"/>
    <w:tmpl w:val="772C6614"/>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8850038"/>
    <w:multiLevelType w:val="multilevel"/>
    <w:tmpl w:val="D99A80C0"/>
    <w:lvl w:ilvl="0">
      <w:start w:val="1"/>
      <w:numFmt w:val="bullet"/>
      <w:lvlText w:val=""/>
      <w:lvlJc w:val="left"/>
      <w:pPr>
        <w:tabs>
          <w:tab w:val="num" w:pos="1004"/>
        </w:tabs>
        <w:ind w:left="1004" w:hanging="360"/>
      </w:pPr>
      <w:rPr>
        <w:rFonts w:ascii="Symbol" w:hAnsi="Symbol" w:cs="OpenSymbol" w:hint="default"/>
        <w:sz w:val="20"/>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 w15:restartNumberingAfterBreak="0">
    <w:nsid w:val="0F4159C4"/>
    <w:multiLevelType w:val="multilevel"/>
    <w:tmpl w:val="EFF051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C9B7AD6"/>
    <w:multiLevelType w:val="multilevel"/>
    <w:tmpl w:val="D99A80C0"/>
    <w:lvl w:ilvl="0">
      <w:start w:val="1"/>
      <w:numFmt w:val="bullet"/>
      <w:lvlText w:val=""/>
      <w:lvlJc w:val="left"/>
      <w:pPr>
        <w:tabs>
          <w:tab w:val="num" w:pos="1004"/>
        </w:tabs>
        <w:ind w:left="1004" w:hanging="360"/>
      </w:pPr>
      <w:rPr>
        <w:rFonts w:ascii="Symbol" w:hAnsi="Symbol" w:cs="OpenSymbol" w:hint="default"/>
        <w:sz w:val="20"/>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5" w15:restartNumberingAfterBreak="0">
    <w:nsid w:val="30C12278"/>
    <w:multiLevelType w:val="multilevel"/>
    <w:tmpl w:val="D99A80C0"/>
    <w:lvl w:ilvl="0">
      <w:start w:val="1"/>
      <w:numFmt w:val="bullet"/>
      <w:lvlText w:val=""/>
      <w:lvlJc w:val="left"/>
      <w:pPr>
        <w:tabs>
          <w:tab w:val="num" w:pos="1004"/>
        </w:tabs>
        <w:ind w:left="1004" w:hanging="360"/>
      </w:pPr>
      <w:rPr>
        <w:rFonts w:ascii="Symbol" w:hAnsi="Symbol" w:cs="OpenSymbol" w:hint="default"/>
        <w:sz w:val="20"/>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6" w15:restartNumberingAfterBreak="0">
    <w:nsid w:val="351805CC"/>
    <w:multiLevelType w:val="hybridMultilevel"/>
    <w:tmpl w:val="24BC9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081323"/>
    <w:multiLevelType w:val="multilevel"/>
    <w:tmpl w:val="D99A80C0"/>
    <w:lvl w:ilvl="0">
      <w:start w:val="1"/>
      <w:numFmt w:val="bullet"/>
      <w:lvlText w:val=""/>
      <w:lvlJc w:val="left"/>
      <w:pPr>
        <w:tabs>
          <w:tab w:val="num" w:pos="1004"/>
        </w:tabs>
        <w:ind w:left="1004" w:hanging="360"/>
      </w:pPr>
      <w:rPr>
        <w:rFonts w:ascii="Symbol" w:hAnsi="Symbol" w:cs="OpenSymbol" w:hint="default"/>
        <w:sz w:val="20"/>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1353"/>
        </w:tabs>
        <w:ind w:left="1353"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8" w15:restartNumberingAfterBreak="0">
    <w:nsid w:val="369E1283"/>
    <w:multiLevelType w:val="multilevel"/>
    <w:tmpl w:val="BEE01BBA"/>
    <w:lvl w:ilvl="0">
      <w:start w:val="1"/>
      <w:numFmt w:val="bullet"/>
      <w:lvlText w:val="•"/>
      <w:lvlJc w:val="left"/>
      <w:pPr>
        <w:ind w:left="720" w:hanging="360"/>
      </w:pPr>
      <w:rPr>
        <w:rFonts w:ascii="Times New Roman" w:hAnsi="Times New Roman" w:cs="Times New Roman" w:hint="default"/>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7224B89"/>
    <w:multiLevelType w:val="multilevel"/>
    <w:tmpl w:val="37F88C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7794AED"/>
    <w:multiLevelType w:val="hybridMultilevel"/>
    <w:tmpl w:val="30161F2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4CBE6868"/>
    <w:multiLevelType w:val="multilevel"/>
    <w:tmpl w:val="D99A80C0"/>
    <w:lvl w:ilvl="0">
      <w:start w:val="1"/>
      <w:numFmt w:val="bullet"/>
      <w:lvlText w:val=""/>
      <w:lvlJc w:val="left"/>
      <w:pPr>
        <w:tabs>
          <w:tab w:val="num" w:pos="1004"/>
        </w:tabs>
        <w:ind w:left="1004" w:hanging="360"/>
      </w:pPr>
      <w:rPr>
        <w:rFonts w:ascii="Symbol" w:hAnsi="Symbol" w:cs="OpenSymbol" w:hint="default"/>
        <w:sz w:val="20"/>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2" w15:restartNumberingAfterBreak="0">
    <w:nsid w:val="59264828"/>
    <w:multiLevelType w:val="multilevel"/>
    <w:tmpl w:val="D98E988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599F0099"/>
    <w:multiLevelType w:val="multilevel"/>
    <w:tmpl w:val="4782BA0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5B731082"/>
    <w:multiLevelType w:val="multilevel"/>
    <w:tmpl w:val="FC1C895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D9B467D"/>
    <w:multiLevelType w:val="multilevel"/>
    <w:tmpl w:val="F7A28C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EB228DB"/>
    <w:multiLevelType w:val="multilevel"/>
    <w:tmpl w:val="08C02D74"/>
    <w:lvl w:ilvl="0">
      <w:start w:val="1"/>
      <w:numFmt w:val="bullet"/>
      <w:lvlText w:val=""/>
      <w:lvlJc w:val="left"/>
      <w:pPr>
        <w:ind w:left="1770" w:hanging="360"/>
      </w:pPr>
      <w:rPr>
        <w:rFonts w:ascii="Wingdings" w:hAnsi="Wingdings" w:cs="OpenSymbol" w:hint="default"/>
      </w:rPr>
    </w:lvl>
    <w:lvl w:ilvl="1">
      <w:start w:val="1"/>
      <w:numFmt w:val="bullet"/>
      <w:lvlText w:val="o"/>
      <w:lvlJc w:val="left"/>
      <w:pPr>
        <w:ind w:left="2490" w:hanging="360"/>
      </w:pPr>
      <w:rPr>
        <w:rFonts w:ascii="Courier New" w:hAnsi="Courier New" w:cs="Courier New" w:hint="default"/>
      </w:rPr>
    </w:lvl>
    <w:lvl w:ilvl="2">
      <w:start w:val="1"/>
      <w:numFmt w:val="bullet"/>
      <w:lvlText w:val=""/>
      <w:lvlJc w:val="left"/>
      <w:pPr>
        <w:ind w:left="3210" w:hanging="360"/>
      </w:pPr>
      <w:rPr>
        <w:rFonts w:ascii="Wingdings" w:hAnsi="Wingdings" w:cs="Wingdings" w:hint="default"/>
      </w:rPr>
    </w:lvl>
    <w:lvl w:ilvl="3">
      <w:start w:val="1"/>
      <w:numFmt w:val="bullet"/>
      <w:lvlText w:val=""/>
      <w:lvlJc w:val="left"/>
      <w:pPr>
        <w:ind w:left="3930" w:hanging="360"/>
      </w:pPr>
      <w:rPr>
        <w:rFonts w:ascii="Symbol" w:hAnsi="Symbol" w:cs="Symbol" w:hint="default"/>
      </w:rPr>
    </w:lvl>
    <w:lvl w:ilvl="4">
      <w:start w:val="1"/>
      <w:numFmt w:val="bullet"/>
      <w:lvlText w:val="o"/>
      <w:lvlJc w:val="left"/>
      <w:pPr>
        <w:ind w:left="4650" w:hanging="360"/>
      </w:pPr>
      <w:rPr>
        <w:rFonts w:ascii="Courier New" w:hAnsi="Courier New" w:cs="Courier New" w:hint="default"/>
      </w:rPr>
    </w:lvl>
    <w:lvl w:ilvl="5">
      <w:start w:val="1"/>
      <w:numFmt w:val="bullet"/>
      <w:lvlText w:val=""/>
      <w:lvlJc w:val="left"/>
      <w:pPr>
        <w:ind w:left="5370" w:hanging="360"/>
      </w:pPr>
      <w:rPr>
        <w:rFonts w:ascii="Wingdings" w:hAnsi="Wingdings" w:cs="Wingdings" w:hint="default"/>
      </w:rPr>
    </w:lvl>
    <w:lvl w:ilvl="6">
      <w:start w:val="1"/>
      <w:numFmt w:val="bullet"/>
      <w:lvlText w:val=""/>
      <w:lvlJc w:val="left"/>
      <w:pPr>
        <w:ind w:left="6090" w:hanging="360"/>
      </w:pPr>
      <w:rPr>
        <w:rFonts w:ascii="Symbol" w:hAnsi="Symbol" w:cs="Symbol" w:hint="default"/>
      </w:rPr>
    </w:lvl>
    <w:lvl w:ilvl="7">
      <w:start w:val="1"/>
      <w:numFmt w:val="bullet"/>
      <w:lvlText w:val="o"/>
      <w:lvlJc w:val="left"/>
      <w:pPr>
        <w:ind w:left="6810" w:hanging="360"/>
      </w:pPr>
      <w:rPr>
        <w:rFonts w:ascii="Courier New" w:hAnsi="Courier New" w:cs="Courier New" w:hint="default"/>
      </w:rPr>
    </w:lvl>
    <w:lvl w:ilvl="8">
      <w:start w:val="1"/>
      <w:numFmt w:val="bullet"/>
      <w:lvlText w:val=""/>
      <w:lvlJc w:val="left"/>
      <w:pPr>
        <w:ind w:left="7530" w:hanging="360"/>
      </w:pPr>
      <w:rPr>
        <w:rFonts w:ascii="Wingdings" w:hAnsi="Wingdings" w:cs="Wingdings" w:hint="default"/>
      </w:rPr>
    </w:lvl>
  </w:abstractNum>
  <w:abstractNum w:abstractNumId="17" w15:restartNumberingAfterBreak="0">
    <w:nsid w:val="63771F58"/>
    <w:multiLevelType w:val="multilevel"/>
    <w:tmpl w:val="D98E988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7920258A"/>
    <w:multiLevelType w:val="hybridMultilevel"/>
    <w:tmpl w:val="C36EFABE"/>
    <w:lvl w:ilvl="0" w:tplc="2E246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9"/>
  </w:num>
  <w:num w:numId="4">
    <w:abstractNumId w:val="16"/>
  </w:num>
  <w:num w:numId="5">
    <w:abstractNumId w:val="3"/>
  </w:num>
  <w:num w:numId="6">
    <w:abstractNumId w:val="13"/>
  </w:num>
  <w:num w:numId="7">
    <w:abstractNumId w:val="12"/>
  </w:num>
  <w:num w:numId="8">
    <w:abstractNumId w:val="15"/>
  </w:num>
  <w:num w:numId="9">
    <w:abstractNumId w:val="5"/>
  </w:num>
  <w:num w:numId="10">
    <w:abstractNumId w:val="2"/>
  </w:num>
  <w:num w:numId="11">
    <w:abstractNumId w:val="11"/>
  </w:num>
  <w:num w:numId="12">
    <w:abstractNumId w:val="4"/>
  </w:num>
  <w:num w:numId="13">
    <w:abstractNumId w:val="17"/>
  </w:num>
  <w:num w:numId="14">
    <w:abstractNumId w:val="18"/>
  </w:num>
  <w:num w:numId="15">
    <w:abstractNumId w:val="0"/>
  </w:num>
  <w:num w:numId="16">
    <w:abstractNumId w:val="10"/>
  </w:num>
  <w:num w:numId="17">
    <w:abstractNumId w:val="6"/>
  </w:num>
  <w:num w:numId="18">
    <w:abstractNumId w:val="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82"/>
    <w:rsid w:val="00055188"/>
    <w:rsid w:val="0006053D"/>
    <w:rsid w:val="00062668"/>
    <w:rsid w:val="00065D56"/>
    <w:rsid w:val="001A0878"/>
    <w:rsid w:val="001B34E7"/>
    <w:rsid w:val="001B3606"/>
    <w:rsid w:val="00227647"/>
    <w:rsid w:val="00243E2F"/>
    <w:rsid w:val="00250784"/>
    <w:rsid w:val="002855CF"/>
    <w:rsid w:val="002A26AA"/>
    <w:rsid w:val="002E0F29"/>
    <w:rsid w:val="00392184"/>
    <w:rsid w:val="003A18FC"/>
    <w:rsid w:val="003A299C"/>
    <w:rsid w:val="00410327"/>
    <w:rsid w:val="00441ED1"/>
    <w:rsid w:val="00477FC4"/>
    <w:rsid w:val="004C1752"/>
    <w:rsid w:val="004D72F6"/>
    <w:rsid w:val="004F0E8B"/>
    <w:rsid w:val="005261C6"/>
    <w:rsid w:val="00545847"/>
    <w:rsid w:val="00606AC4"/>
    <w:rsid w:val="00665426"/>
    <w:rsid w:val="00676627"/>
    <w:rsid w:val="006F5D82"/>
    <w:rsid w:val="007506E7"/>
    <w:rsid w:val="00751B40"/>
    <w:rsid w:val="007767FC"/>
    <w:rsid w:val="007A5000"/>
    <w:rsid w:val="007A6BB9"/>
    <w:rsid w:val="007B761F"/>
    <w:rsid w:val="007C0F38"/>
    <w:rsid w:val="007C2B28"/>
    <w:rsid w:val="00804AF7"/>
    <w:rsid w:val="00820685"/>
    <w:rsid w:val="00830FCE"/>
    <w:rsid w:val="0084766A"/>
    <w:rsid w:val="008A6871"/>
    <w:rsid w:val="008C0582"/>
    <w:rsid w:val="008F4051"/>
    <w:rsid w:val="00945A8B"/>
    <w:rsid w:val="00951A9A"/>
    <w:rsid w:val="00962260"/>
    <w:rsid w:val="009C4F7F"/>
    <w:rsid w:val="00A0173F"/>
    <w:rsid w:val="00A15EDA"/>
    <w:rsid w:val="00A433C3"/>
    <w:rsid w:val="00A65381"/>
    <w:rsid w:val="00A91156"/>
    <w:rsid w:val="00A9473C"/>
    <w:rsid w:val="00AB2141"/>
    <w:rsid w:val="00AB5180"/>
    <w:rsid w:val="00B251C8"/>
    <w:rsid w:val="00B35DC0"/>
    <w:rsid w:val="00B37582"/>
    <w:rsid w:val="00B7643E"/>
    <w:rsid w:val="00B86314"/>
    <w:rsid w:val="00B91A69"/>
    <w:rsid w:val="00BA1C47"/>
    <w:rsid w:val="00BF3735"/>
    <w:rsid w:val="00C0565D"/>
    <w:rsid w:val="00C338F7"/>
    <w:rsid w:val="00C408E2"/>
    <w:rsid w:val="00C55036"/>
    <w:rsid w:val="00C900BB"/>
    <w:rsid w:val="00D10F88"/>
    <w:rsid w:val="00D13E9C"/>
    <w:rsid w:val="00D20781"/>
    <w:rsid w:val="00D30BAE"/>
    <w:rsid w:val="00D33D3C"/>
    <w:rsid w:val="00D43021"/>
    <w:rsid w:val="00D67A38"/>
    <w:rsid w:val="00DF1533"/>
    <w:rsid w:val="00E017B2"/>
    <w:rsid w:val="00E46351"/>
    <w:rsid w:val="00E4644A"/>
    <w:rsid w:val="00E66B93"/>
    <w:rsid w:val="00F174C9"/>
    <w:rsid w:val="00F33592"/>
    <w:rsid w:val="00F522E7"/>
    <w:rsid w:val="00F605D3"/>
    <w:rsid w:val="00F66880"/>
    <w:rsid w:val="00F902D7"/>
    <w:rsid w:val="00FE7C6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4A00"/>
  <w15:docId w15:val="{DC749720-86A1-4C49-8A21-F33C0890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5781"/>
    <w:pPr>
      <w:jc w:val="both"/>
    </w:pPr>
    <w:rPr>
      <w:color w:val="00000A"/>
    </w:rPr>
  </w:style>
  <w:style w:type="paragraph" w:styleId="Titolo1">
    <w:name w:val="heading 1"/>
    <w:basedOn w:val="Normale"/>
    <w:qFormat/>
    <w:pPr>
      <w:keepNext/>
      <w:jc w:val="center"/>
      <w:outlineLvl w:val="0"/>
    </w:pPr>
    <w:rPr>
      <w:sz w:val="32"/>
    </w:rPr>
  </w:style>
  <w:style w:type="paragraph" w:styleId="Titolo2">
    <w:name w:val="heading 2"/>
    <w:basedOn w:val="Normale"/>
    <w:qFormat/>
    <w:pPr>
      <w:keepNext/>
      <w:jc w:val="center"/>
      <w:outlineLvl w:val="1"/>
    </w:pPr>
    <w:rPr>
      <w:sz w:val="28"/>
    </w:rPr>
  </w:style>
  <w:style w:type="paragraph" w:styleId="Titolo3">
    <w:name w:val="heading 3"/>
    <w:basedOn w:val="Normale"/>
    <w:qFormat/>
    <w:pPr>
      <w:keepNext/>
      <w:spacing w:line="480" w:lineRule="auto"/>
      <w:jc w:val="center"/>
      <w:outlineLvl w:val="2"/>
    </w:pPr>
    <w:rPr>
      <w:b/>
      <w:sz w:val="28"/>
    </w:rPr>
  </w:style>
  <w:style w:type="paragraph" w:styleId="Titolo4">
    <w:name w:val="heading 4"/>
    <w:basedOn w:val="Normale"/>
    <w:qFormat/>
    <w:pPr>
      <w:keepNext/>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idipaginaCarattere">
    <w:name w:val="Piè di pagina Carattere"/>
    <w:basedOn w:val="Carpredefinitoparagrafo"/>
    <w:link w:val="Pidipagina"/>
    <w:uiPriority w:val="99"/>
    <w:qFormat/>
    <w:rsid w:val="00010446"/>
  </w:style>
  <w:style w:type="character" w:customStyle="1" w:styleId="TestonormaleCarattere">
    <w:name w:val="Testo normale Carattere"/>
    <w:basedOn w:val="Carpredefinitoparagrafo"/>
    <w:link w:val="Testonormale"/>
    <w:uiPriority w:val="99"/>
    <w:semiHidden/>
    <w:qFormat/>
    <w:rsid w:val="00D34947"/>
    <w:rPr>
      <w:rFonts w:ascii="Consolas" w:hAnsi="Consolas"/>
      <w:sz w:val="21"/>
      <w:szCs w:val="21"/>
      <w:lang w:eastAsia="en-US"/>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libri" w:cs="Arial"/>
      <w:sz w:val="20"/>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Times New Roman"/>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character" w:customStyle="1" w:styleId="ListLabel29">
    <w:name w:val="ListLabel 29"/>
    <w:qFormat/>
    <w:rPr>
      <w:rFonts w:ascii="Arial" w:hAnsi="Arial" w:cs="OpenSymbol"/>
      <w:sz w:val="20"/>
    </w:rPr>
  </w:style>
  <w:style w:type="character" w:customStyle="1" w:styleId="ListLabel30">
    <w:name w:val="ListLabel 30"/>
    <w:qFormat/>
    <w:rPr>
      <w:rFonts w:cs="Wingdings"/>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Open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Arial" w:hAnsi="Arial"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ascii="Arial" w:hAnsi="Arial" w:cs="OpenSymbol"/>
      <w:sz w:val="20"/>
    </w:rPr>
  </w:style>
  <w:style w:type="character" w:customStyle="1" w:styleId="ListLabel85">
    <w:name w:val="ListLabel 85"/>
    <w:qFormat/>
    <w:rPr>
      <w:rFonts w:cs="Wingdings"/>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Open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ascii="Arial" w:hAnsi="Arial"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ascii="Arial" w:hAnsi="Arial" w:cs="OpenSymbol"/>
      <w:sz w:val="20"/>
    </w:rPr>
  </w:style>
  <w:style w:type="character" w:customStyle="1" w:styleId="ListLabel140">
    <w:name w:val="ListLabel 140"/>
    <w:qFormat/>
    <w:rPr>
      <w:rFonts w:cs="Wingdings"/>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rFonts w:cs="Symbol"/>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Open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Symbol"/>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ascii="Arial" w:hAnsi="Arial"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88"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Intestazione">
    <w:name w:val="header"/>
    <w:basedOn w:val="Normale"/>
    <w:semiHidden/>
    <w:pPr>
      <w:tabs>
        <w:tab w:val="center" w:pos="4819"/>
        <w:tab w:val="right" w:pos="9638"/>
      </w:tabs>
    </w:pPr>
    <w:rPr>
      <w:rFonts w:ascii="Arial" w:hAnsi="Arial"/>
    </w:rPr>
  </w:style>
  <w:style w:type="paragraph" w:styleId="Rientrocorpodeltesto">
    <w:name w:val="Body Text Indent"/>
    <w:basedOn w:val="Normale"/>
    <w:semiHidden/>
    <w:pPr>
      <w:spacing w:line="480" w:lineRule="auto"/>
      <w:ind w:firstLine="709"/>
    </w:pPr>
    <w:rPr>
      <w:sz w:val="24"/>
    </w:rPr>
  </w:style>
  <w:style w:type="paragraph" w:styleId="Nessunaspaziatura">
    <w:name w:val="No Spacing"/>
    <w:uiPriority w:val="1"/>
    <w:qFormat/>
    <w:rsid w:val="00311EDC"/>
    <w:pPr>
      <w:jc w:val="both"/>
    </w:pPr>
    <w:rPr>
      <w:color w:val="00000A"/>
      <w:sz w:val="24"/>
    </w:rPr>
  </w:style>
  <w:style w:type="paragraph" w:styleId="Pidipagina">
    <w:name w:val="footer"/>
    <w:basedOn w:val="Normale"/>
    <w:link w:val="PidipaginaCarattere"/>
    <w:uiPriority w:val="99"/>
    <w:unhideWhenUsed/>
    <w:rsid w:val="00010446"/>
    <w:pPr>
      <w:tabs>
        <w:tab w:val="center" w:pos="4819"/>
        <w:tab w:val="right" w:pos="9638"/>
      </w:tabs>
    </w:pPr>
  </w:style>
  <w:style w:type="paragraph" w:styleId="Testonormale">
    <w:name w:val="Plain Text"/>
    <w:basedOn w:val="Normale"/>
    <w:link w:val="TestonormaleCarattere"/>
    <w:uiPriority w:val="99"/>
    <w:semiHidden/>
    <w:unhideWhenUsed/>
    <w:qFormat/>
    <w:rsid w:val="00D34947"/>
    <w:rPr>
      <w:rFonts w:ascii="Consolas" w:hAnsi="Consolas"/>
      <w:sz w:val="21"/>
      <w:szCs w:val="21"/>
      <w:lang w:eastAsia="en-US"/>
    </w:rPr>
  </w:style>
  <w:style w:type="paragraph" w:styleId="Paragrafoelenco">
    <w:name w:val="List Paragraph"/>
    <w:basedOn w:val="Normale"/>
    <w:uiPriority w:val="34"/>
    <w:qFormat/>
    <w:rsid w:val="00D34947"/>
    <w:pPr>
      <w:ind w:left="708"/>
      <w:jc w:val="left"/>
    </w:pPr>
    <w:rPr>
      <w:rFonts w:ascii="Arial" w:hAnsi="Arial" w:cs="Arial"/>
      <w:sz w:val="24"/>
    </w:rPr>
  </w:style>
  <w:style w:type="paragraph" w:customStyle="1" w:styleId="Default">
    <w:name w:val="Default"/>
    <w:qFormat/>
    <w:rsid w:val="00D34947"/>
    <w:rPr>
      <w:rFonts w:ascii="Arial" w:eastAsia="Calibri" w:hAnsi="Arial" w:cs="Arial"/>
      <w:color w:val="000000"/>
      <w:sz w:val="24"/>
      <w:szCs w:val="24"/>
      <w:lang w:eastAsia="en-US"/>
    </w:rPr>
  </w:style>
  <w:style w:type="paragraph" w:customStyle="1" w:styleId="base1">
    <w:name w:val="base1"/>
    <w:basedOn w:val="Normale"/>
    <w:rsid w:val="00BA1C47"/>
    <w:pPr>
      <w:ind w:firstLine="567"/>
    </w:pPr>
    <w:rPr>
      <w:rFonts w:ascii="Arial" w:hAnsi="Arial"/>
      <w:color w:val="auto"/>
      <w:lang w:val="en-US"/>
    </w:rPr>
  </w:style>
  <w:style w:type="paragraph" w:styleId="Testofumetto">
    <w:name w:val="Balloon Text"/>
    <w:basedOn w:val="Normale"/>
    <w:link w:val="TestofumettoCarattere"/>
    <w:uiPriority w:val="99"/>
    <w:semiHidden/>
    <w:unhideWhenUsed/>
    <w:rsid w:val="00BF373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F3735"/>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D6A2C-6C1C-4771-8D9C-DE8D43DFB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1825</Words>
  <Characters>10408</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{Copiaprima}</vt:lpstr>
    </vt:vector>
  </TitlesOfParts>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{Copiaprima}</dc:title>
  <dc:subject/>
  <dc:creator>milena</dc:creator>
  <dc:description/>
  <cp:lastModifiedBy>Blumetti Giuseppe</cp:lastModifiedBy>
  <cp:revision>2</cp:revision>
  <cp:lastPrinted>2021-12-31T10:32:00Z</cp:lastPrinted>
  <dcterms:created xsi:type="dcterms:W3CDTF">2021-12-31T13:59:00Z</dcterms:created>
  <dcterms:modified xsi:type="dcterms:W3CDTF">2021-12-31T13:59:00Z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