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Calibri" w:hAnsi="Calibri"/>
        </w:rPr>
      </w:pPr>
      <w:r>
        <w:rPr/>
        <w:drawing>
          <wp:inline distT="0" distB="0" distL="0" distR="0">
            <wp:extent cx="2371725" cy="9525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DETERMINAZIONE DIRIGENZIALE</w:t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N. </w:t>
        <w:tab/>
        <w:t xml:space="preserve">  DEL </w:t>
        <w:tab/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</w:rPr>
      </w:pPr>
      <w:r>
        <w:rPr>
          <w:rFonts w:cs="Arial" w:ascii="Arial" w:hAnsi="Arial"/>
        </w:rPr>
        <w:t>SETTORE: SERVIZI AL TERRITORIO</w:t>
      </w:r>
    </w:p>
    <w:p>
      <w:pPr>
        <w:pStyle w:val="Normal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contextualSpacing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contextualSpacing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contextualSpacing/>
        <w:rPr/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OGGETTO: DETERMINAZIONI DIRIGENZIALI N. 520/2021 E N.590/2021 - OPERE INTEGRATIVE E  URGENTI DA EFFETTUARSI PRESSO LO STABILE DI VIALE MILANO AD USO COMMISSARIATO E TRIBUNALE E PRESSO IL CIMITERO CENTRALE CITTADINO </w:t>
      </w:r>
      <w:r>
        <w:rPr>
          <w:rFonts w:cs="Arial" w:ascii="Arial" w:hAnsi="Arial"/>
          <w:b/>
          <w:sz w:val="24"/>
          <w:szCs w:val="24"/>
        </w:rPr>
        <w:t>–</w:t>
      </w:r>
      <w:r>
        <w:rPr>
          <w:rFonts w:cs="Arial" w:ascii="Arial" w:hAnsi="Arial"/>
          <w:sz w:val="24"/>
          <w:szCs w:val="24"/>
        </w:rPr>
        <w:t xml:space="preserve"> AFFIDAMENTO  DIRETTO ALL’OPERATORE ECONOMICO CO.RA GLOBAL SERVICE SRL PER L’IMPORTO NETTO DI  EURO 38.843,10- CIG Z0E34DFE9D</w:t>
      </w:r>
    </w:p>
    <w:p>
      <w:pPr>
        <w:pStyle w:val="Normal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/>
        <w:numPr>
          <w:ilvl w:val="0"/>
          <w:numId w:val="0"/>
        </w:numPr>
        <w:jc w:val="center"/>
        <w:outlineLvl w:val="1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IL DIRIGENTE RESPONSABILE DI SETTORE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before="0" w:after="0"/>
        <w:ind w:left="567" w:hanging="567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Visti: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gli artt.107, comma 3, lett. b) e 109, comma 1 del D.Lgs. 18/08/2000, n. 267;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gli artt. 183, comma 1 e 191 del D.Lgs. 18/08/2000, n. 267;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l’art. 26, comma 3 della Legge 23/12/1999, n. 488;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l’art. 1, comma 508 della Legge 28/12/2015, n.208;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il D.P.C.M. 24/12/2015;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l’art 1, comma 1, lett. a), e comma 8, lett. a) e l’</w:t>
      </w:r>
      <w:r>
        <w:rPr>
          <w:rFonts w:cs="Arial" w:ascii="Arial" w:hAnsi="Arial"/>
          <w:color w:val="000000"/>
          <w:sz w:val="24"/>
          <w:szCs w:val="24"/>
        </w:rPr>
        <w:t>art. 2, comma 4</w:t>
      </w:r>
      <w:r>
        <w:rPr>
          <w:rFonts w:cs="Arial" w:ascii="Arial" w:hAnsi="Arial"/>
          <w:sz w:val="24"/>
          <w:szCs w:val="24"/>
        </w:rPr>
        <w:t xml:space="preserve"> </w:t>
      </w:r>
      <w:bookmarkStart w:id="0" w:name="__DdeLink__1641_1187183189"/>
      <w:r>
        <w:rPr>
          <w:rFonts w:cs="Arial" w:ascii="Arial" w:hAnsi="Arial"/>
          <w:sz w:val="24"/>
          <w:szCs w:val="24"/>
        </w:rPr>
        <w:t xml:space="preserve">del D.L.16/07/2020, n. 76, convertito con modificazioni nella Legge 11/09/2020, n. 120 </w:t>
      </w:r>
      <w:bookmarkEnd w:id="0"/>
      <w:r>
        <w:rPr>
          <w:rFonts w:cs="Arial" w:ascii="Arial" w:hAnsi="Arial"/>
          <w:sz w:val="24"/>
          <w:szCs w:val="24"/>
        </w:rPr>
        <w:t xml:space="preserve">e l’art. </w:t>
      </w:r>
      <w:r>
        <w:rPr>
          <w:rFonts w:eastAsia="Arial" w:cs="Arial" w:ascii="Arial" w:hAnsi="Arial"/>
          <w:sz w:val="24"/>
          <w:szCs w:val="24"/>
        </w:rPr>
        <w:t>51, comma 1, punto 2.2. del D.L. 31.05.2021, n. 77</w:t>
      </w:r>
      <w:r>
        <w:rPr>
          <w:rFonts w:cs="Arial" w:ascii="Arial" w:hAnsi="Arial"/>
          <w:sz w:val="24"/>
          <w:szCs w:val="24"/>
        </w:rPr>
        <w:t xml:space="preserve"> convertito, con modificazioni, nella Legge 29/07/2021, n. 108;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gli artt. 30,32,35,103,36 e 37 del D.Lgs. 18/04/2016, n. 50 del </w:t>
      </w:r>
      <w:r>
        <w:rPr>
          <w:rFonts w:cs="Arial" w:ascii="Arial" w:hAnsi="Arial"/>
          <w:i/>
          <w:iCs/>
          <w:sz w:val="24"/>
          <w:szCs w:val="24"/>
        </w:rPr>
        <w:t xml:space="preserve">“Codice dei contratti pubblici”, </w:t>
      </w:r>
      <w:r>
        <w:rPr>
          <w:rFonts w:cs="Arial" w:ascii="Arial" w:hAnsi="Arial"/>
          <w:sz w:val="24"/>
          <w:szCs w:val="24"/>
        </w:rPr>
        <w:t>con particolare riferimento alle due ultime disposizioni citate in merito alla fattispecie degli affidamenti diretti, come modificati dalle sopra richiamate disposizioni derogatorie,;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l’art. 3, comma 5 della Legge 13/08/2010, n. 136; 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l’art. 1 comma 9, lett e) della Legge 06/11/2012, n.190 e art. 10 comma 2, lett. a) del P.T.P.C.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spacing w:before="0" w:after="0"/>
        <w:ind w:left="567" w:hanging="567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le Linee Guida ANAC, n. 4 recanti </w:t>
      </w:r>
      <w:r>
        <w:rPr>
          <w:rFonts w:cs="Arial" w:ascii="Arial" w:hAnsi="Arial"/>
          <w:i/>
          <w:iCs/>
          <w:sz w:val="24"/>
          <w:szCs w:val="24"/>
        </w:rPr>
        <w:t xml:space="preserve">“Procedure per l’affidamento dei contratti pubblici di importo inferiore alle soglie di rilevanza comunitaria, indagini di mercato e formazione e gestione degli elenchi di operatori economici” </w:t>
      </w:r>
      <w:r>
        <w:rPr>
          <w:rFonts w:cs="Arial" w:ascii="Arial" w:hAnsi="Arial"/>
          <w:sz w:val="24"/>
          <w:szCs w:val="24"/>
        </w:rPr>
        <w:t>approvate con deliberazione 26/10/2016, n. 1097 e aggiornate con deliberazioni dell’Autorità 01/03/2018, n. 206 e n. 636 del 10/07/2019;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spacing w:before="0" w:after="0"/>
        <w:ind w:left="567" w:hanging="567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l’art. 38 dello Statuto del Comune di Gallarate; </w:t>
      </w:r>
    </w:p>
    <w:p>
      <w:pPr>
        <w:pStyle w:val="Normal"/>
        <w:numPr>
          <w:ilvl w:val="0"/>
          <w:numId w:val="5"/>
        </w:numPr>
        <w:tabs>
          <w:tab w:val="left" w:pos="567" w:leader="none"/>
          <w:tab w:val="left" w:pos="720" w:leader="none"/>
        </w:tabs>
        <w:spacing w:before="0" w:after="0"/>
        <w:ind w:left="567" w:hanging="567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l’art. 8 del Regolamento per la disciplina degli Uffici e dei servizi, approvato con deliberazione di Giunta Comunale 20/12/2016, n. 169;</w:t>
      </w:r>
    </w:p>
    <w:p>
      <w:pPr>
        <w:pStyle w:val="Normal"/>
        <w:tabs>
          <w:tab w:val="left" w:pos="567" w:leader="none"/>
          <w:tab w:val="left" w:pos="720" w:leader="none"/>
        </w:tabs>
        <w:spacing w:before="0" w:after="0"/>
        <w:ind w:left="567" w:hanging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left" w:pos="567" w:leader="none"/>
          <w:tab w:val="left" w:pos="720" w:leader="none"/>
        </w:tabs>
        <w:spacing w:before="0" w:after="0"/>
        <w:ind w:left="567" w:hanging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2"/>
        <w:ind w:left="-5" w:right="4215"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 xml:space="preserve">Richiamati:  </w:t>
      </w:r>
    </w:p>
    <w:p>
      <w:pPr>
        <w:pStyle w:val="ListParagraph"/>
        <w:numPr>
          <w:ilvl w:val="0"/>
          <w:numId w:val="6"/>
        </w:numPr>
        <w:tabs>
          <w:tab w:val="left" w:pos="567" w:leader="none"/>
        </w:tabs>
        <w:spacing w:before="0" w:after="0"/>
        <w:ind w:left="567" w:hanging="28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la deliberazione del Consiglio Comunale 20/12/2021, n. 54, efficace ai sensi di legge, con la quale è stato approvato il Documento Unico di Programmazione (D.U.P.) e il Bilancio di Previsione degli esercizi 2022, 2023, 2024; </w:t>
      </w:r>
    </w:p>
    <w:p>
      <w:pPr>
        <w:pStyle w:val="ListParagraph"/>
        <w:numPr>
          <w:ilvl w:val="0"/>
          <w:numId w:val="6"/>
        </w:numPr>
        <w:tabs>
          <w:tab w:val="left" w:pos="567" w:leader="none"/>
        </w:tabs>
        <w:spacing w:before="0" w:after="0"/>
        <w:ind w:left="567" w:hanging="283"/>
        <w:contextualSpacing/>
        <w:rPr>
          <w:sz w:val="24"/>
          <w:szCs w:val="24"/>
        </w:rPr>
      </w:pPr>
      <w:r>
        <w:rPr>
          <w:sz w:val="24"/>
          <w:szCs w:val="24"/>
        </w:rPr>
        <w:t>la deliberazione della Giunta Comunale,22/12/2021, n. 144, efficace ai sensi di legge, con la quale è stato approvato il Piano Esecutivo di Gestione 2022, 2023, 2024;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>
          <w:rFonts w:ascii="Arial" w:hAnsi="Arial" w:cs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l’atto dirigenziale 25/06//2021, n. 1003, </w:t>
      </w: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efficace ai sensi di legge, a oggetto: </w:t>
      </w:r>
      <w:r>
        <w:rPr>
          <w:rFonts w:cs="Arial" w:ascii="Arial" w:hAnsi="Arial"/>
          <w:i/>
          <w:iCs/>
          <w:color w:val="000000"/>
          <w:sz w:val="18"/>
          <w:szCs w:val="18"/>
          <w:lang w:eastAsia="en-US"/>
        </w:rPr>
        <w:t>“</w:t>
      </w:r>
      <w:bookmarkStart w:id="1" w:name="__DdeLink__160_3680624636"/>
      <w:r>
        <w:rPr>
          <w:rFonts w:cs="Arial" w:ascii="Arial" w:hAnsi="Arial"/>
          <w:i/>
          <w:iCs/>
          <w:color w:val="000000"/>
          <w:sz w:val="18"/>
          <w:szCs w:val="18"/>
          <w:lang w:eastAsia="en-US"/>
        </w:rPr>
        <w:t>SCUOLA SECONDARIA DI PRIMO GRADO DI VIA CONFALONIERI</w:t>
      </w:r>
      <w:bookmarkEnd w:id="1"/>
      <w:r>
        <w:rPr>
          <w:rFonts w:cs="Arial" w:ascii="Arial" w:hAnsi="Arial"/>
          <w:i/>
          <w:iCs/>
          <w:color w:val="000000"/>
          <w:sz w:val="18"/>
          <w:szCs w:val="18"/>
          <w:lang w:eastAsia="en-US"/>
        </w:rPr>
        <w:t xml:space="preserve"> – OPERE DI RISANAMENTO CONSERVATIVO DI DIVERSI AMBIENTI DIDATTICI  - NOMINA NUCLEO PER LO SVOLGIMENTO DELLE FUNZIONI </w:t>
      </w:r>
      <w:bookmarkStart w:id="2" w:name="__DdeLink__166_2397538948"/>
      <w:r>
        <w:rPr>
          <w:rFonts w:cs="Arial" w:ascii="Arial" w:hAnsi="Arial"/>
          <w:i/>
          <w:iCs/>
          <w:color w:val="000000"/>
          <w:sz w:val="18"/>
          <w:szCs w:val="18"/>
          <w:lang w:eastAsia="en-US"/>
        </w:rPr>
        <w:t>TECNICHE</w:t>
      </w:r>
      <w:bookmarkEnd w:id="2"/>
      <w:r>
        <w:rPr>
          <w:rFonts w:cs="Arial" w:ascii="Arial" w:hAnsi="Arial"/>
          <w:i/>
          <w:iCs/>
          <w:color w:val="000000"/>
          <w:sz w:val="18"/>
          <w:szCs w:val="18"/>
          <w:lang w:eastAsia="en-US"/>
        </w:rPr>
        <w:t>”;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la determinazione dirigenziale 20/09/2021 n. 520, efficace ai sensi di legge, relativa all’affidamento dei lavori di </w:t>
      </w:r>
      <w:bookmarkStart w:id="3" w:name="__DdeLink__688_3362926709"/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posa controsoffitto strutturale antisfondellamento presso la scuola secondaria di primo grado via Confalonieri, </w:t>
      </w:r>
      <w:bookmarkEnd w:id="3"/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all’operatore economico </w:t>
      </w:r>
      <w:r>
        <w:rPr>
          <w:rFonts w:cs="Arial" w:ascii="Arial" w:hAnsi="Arial"/>
          <w:color w:val="000000"/>
          <w:sz w:val="24"/>
          <w:szCs w:val="24"/>
        </w:rPr>
        <w:t>CO.RA GLOBAL SERVICE SRL P. IVA / Cod. Istat 08233900961 - VIA TRIESTE, 110, 20812 - LIMBIATE, per un importo contrattuale di €.39.038,10 comprensivo di oneri della sicurezza non soggetti a ribasso, oltre ad IVA al 22%,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la determinazione dirigenziale 04/11/2021 n. 590, efficace ai sensi di legge, relativa all’affidamento di ulteriori opere di natura edile, integrative  rispetto  a quelle affidate con la sopra richiamata determinazione dirigenziale 20/09/2021 n. 520/2021 aventi carattere d’urgenza, al medesimo operatore operatore economico </w:t>
      </w:r>
      <w:r>
        <w:rPr>
          <w:rFonts w:cs="Arial" w:ascii="Arial" w:hAnsi="Arial"/>
          <w:color w:val="000000"/>
          <w:sz w:val="24"/>
          <w:szCs w:val="24"/>
        </w:rPr>
        <w:t>CO.RA GLOBAL SERVICE SRL P. IVA / Cod. Istat 08233900961 - VIA TRIESTE, 110, 20812 - LIMBIATE, per un importo contrattuale di ulteriori e complessivi €. 38.843,10 comprensivi di oneri della sicurezza non soggetti a ribasso, oltre ad IVA al 22%,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  <w:t>la documentazione tecnica co</w:t>
      </w:r>
      <w:r>
        <w:rPr>
          <w:rFonts w:cs="Arial" w:ascii="Arial" w:hAnsi="Arial"/>
          <w:sz w:val="24"/>
          <w:szCs w:val="24"/>
          <w:lang w:eastAsia="en-US"/>
        </w:rPr>
        <w:t xml:space="preserve">ntenente le condizioni di affidamento dei lavori aggiuntivi </w:t>
      </w:r>
      <w:r>
        <w:rPr>
          <w:rFonts w:cs="Arial" w:ascii="Arial" w:hAnsi="Arial"/>
          <w:i/>
          <w:iCs/>
          <w:sz w:val="24"/>
          <w:szCs w:val="24"/>
          <w:lang w:eastAsia="en-US"/>
        </w:rPr>
        <w:t>de quibus</w:t>
      </w:r>
      <w:r>
        <w:rPr>
          <w:rFonts w:cs="Arial" w:ascii="Arial" w:hAnsi="Arial"/>
          <w:sz w:val="24"/>
          <w:szCs w:val="24"/>
          <w:lang w:eastAsia="en-US"/>
        </w:rPr>
        <w:t>, l’importo posto a base di offerta e le modalità per lo svolgimento delle prestazioni in oggetto, allegato alla presente determinazione per farne parte integrante e sostanziale sub A);</w:t>
      </w:r>
    </w:p>
    <w:p>
      <w:pPr>
        <w:pStyle w:val="ListParagraph"/>
        <w:numPr>
          <w:ilvl w:val="0"/>
          <w:numId w:val="1"/>
        </w:numPr>
        <w:tabs>
          <w:tab w:val="left" w:pos="567" w:leader="none"/>
        </w:tabs>
        <w:ind w:left="567" w:hanging="360"/>
        <w:rPr>
          <w:sz w:val="20"/>
          <w:szCs w:val="20"/>
        </w:rPr>
      </w:pPr>
      <w:r>
        <w:rPr>
          <w:sz w:val="24"/>
          <w:szCs w:val="24"/>
        </w:rPr>
        <w:t xml:space="preserve">il </w:t>
      </w:r>
      <w:r>
        <w:rPr>
          <w:i/>
          <w:iCs/>
          <w:sz w:val="24"/>
          <w:szCs w:val="24"/>
        </w:rPr>
        <w:t>report</w:t>
      </w:r>
      <w:r>
        <w:rPr>
          <w:sz w:val="24"/>
          <w:szCs w:val="24"/>
        </w:rPr>
        <w:t xml:space="preserve"> di affidamento dei lavori in oggetto con richiesta di offerta effettuata dal RUP sulla piattaforma di e-procurement della Regione Lombardia (SINTEL) n.</w:t>
      </w:r>
      <w:r>
        <w:rPr>
          <w:color w:val="00000A"/>
          <w:sz w:val="24"/>
          <w:szCs w:val="24"/>
        </w:rPr>
        <w:t xml:space="preserve"> 150081283</w:t>
      </w:r>
      <w:r>
        <w:rPr>
          <w:sz w:val="24"/>
          <w:szCs w:val="24"/>
        </w:rPr>
        <w:t xml:space="preserve">, allegato alla presente determinazione per farne parte integrante e sostanziale sub. B); </w:t>
      </w:r>
    </w:p>
    <w:p>
      <w:pPr>
        <w:pStyle w:val="ListParagraph"/>
        <w:numPr>
          <w:ilvl w:val="0"/>
          <w:numId w:val="1"/>
        </w:numPr>
        <w:tabs>
          <w:tab w:val="left" w:pos="567" w:leader="none"/>
        </w:tabs>
        <w:ind w:left="567" w:hanging="360"/>
        <w:rPr>
          <w:sz w:val="24"/>
          <w:szCs w:val="24"/>
        </w:rPr>
      </w:pPr>
      <w:r>
        <w:rPr>
          <w:sz w:val="24"/>
          <w:szCs w:val="24"/>
        </w:rPr>
        <w:t>la proposta di determinazione dirigenziale in data ***** recante il numero **** predisposta dal responsabile del procedimento cui essa afferisce, e dallo stesso inserita nel flusso documentale dell’Ente, la qual cosa ne sancisce la provenienza, la titolarità, la sottoscrizione e la regolarità tecnica nei termini indicati dall’art. 147-</w:t>
      </w:r>
      <w:r>
        <w:rPr>
          <w:i/>
          <w:sz w:val="24"/>
          <w:szCs w:val="24"/>
        </w:rPr>
        <w:t>bis</w:t>
      </w:r>
      <w:r>
        <w:rPr>
          <w:sz w:val="24"/>
          <w:szCs w:val="24"/>
        </w:rPr>
        <w:t xml:space="preserve">, comma 1 del D.Lgs. 18/8/2000, n. 267, introdotto dal D.L. 10/10/2012, n. 174, convertito nella Legge 07/12/2012, n. 213, i cui contenuti si intendono a tutti gli effetti trasfusi nel presente provvedimento; </w:t>
      </w:r>
    </w:p>
    <w:p>
      <w:pPr>
        <w:pStyle w:val="Normal"/>
        <w:spacing w:lineRule="auto" w:line="252" w:before="0" w:after="7"/>
        <w:ind w:left="-5" w:right="4215" w:hanging="0"/>
        <w:jc w:val="left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</w:rPr>
        <w:t xml:space="preserve">Premesso che:  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  <w:t>con determinazione dirigenziale 20/09/2021 n. 520, efficace ai sensi di legge, si è proceduto all’affidamento, ai sensi dell’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all’art. 36, comma 2 del D.Lgs 18/04/2016, n. 50, con le deroghe introdotte l’art 1, comma 1, lett. a) del D.L.16/07/2020, n. 76, convertito con modificazioni nella Legge 11/09/2020, n. 120 e dall’art. 51, comma 1, punto 2.2 del D.L. 31/05/2021, n. 77 convertito, con modificazioni, nella Legge 29/07/2021, n. 108,  mediante comparazione tra più offerte economiche, secondo le indicazioni contenute nelle Linee Guida ANAC n. 4,  dell’appalto dei </w:t>
      </w:r>
      <w:r>
        <w:rPr>
          <w:rFonts w:cs="Arial" w:ascii="Arial" w:hAnsi="Arial"/>
          <w:i/>
          <w:iCs/>
          <w:color w:val="000000"/>
          <w:sz w:val="24"/>
          <w:szCs w:val="24"/>
          <w:lang w:eastAsia="en-US"/>
        </w:rPr>
        <w:t>lavori di posa controsoffitto strutturale antisfondellamento presso la scuola secondaria di primo grado, di proprietà comunale, posta in via Confalonieri, Gallarate,</w:t>
      </w: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  all’operatore economico CO.RA GLOBAL SERVICE SRL P. IVA / Cod. Istat 08233900961 Indirizzo VIA TRIESTE, 110, 20812 - LIMBIATE, per un importo contrattuale di </w:t>
      </w:r>
      <w:r>
        <w:rPr>
          <w:rFonts w:cs="Arial" w:ascii="Arial" w:hAnsi="Arial"/>
          <w:color w:val="000000"/>
          <w:sz w:val="24"/>
          <w:szCs w:val="24"/>
        </w:rPr>
        <w:t xml:space="preserve">€. 38.843,10, </w:t>
      </w:r>
      <w:r>
        <w:rPr>
          <w:rFonts w:cs="Arial" w:ascii="Arial" w:hAnsi="Arial"/>
          <w:color w:val="000000"/>
          <w:sz w:val="24"/>
          <w:szCs w:val="24"/>
          <w:lang w:eastAsia="en-US"/>
        </w:rPr>
        <w:t>comprensivo di oneri della sicurezza non soggetti a ribasso, oltre ad IVA al 22%;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/>
      </w:pPr>
      <w:r>
        <w:rPr>
          <w:rFonts w:cs="Arial" w:ascii="Arial" w:hAnsi="Arial"/>
          <w:color w:val="000000"/>
          <w:sz w:val="24"/>
          <w:szCs w:val="24"/>
          <w:lang w:eastAsia="en-US"/>
        </w:rPr>
        <w:t>con determinazione dirigenziale 04/11/2021 n. 590, efficace ai sensi di legge, si è proceduto all’affidamento di ulteriori opere di natura edile, integrative  rispetto  a quelle affidate con la sopra richiamata determinazione dirigenziale 20/09/2021 n. 520/2021 aventi carattere d’urgenza, al medesimo operatore operatore economico CO.RA GLOBAL SERVICE SRL P. IVA / Cod. Istat 08233900961 - VIA TRIESTE, 110, 20812 - LIMBIATE, per un importo contrattuale di ulteriori e complessivi €. 38.843,10 comprensivi di oneri della sicurezza non soggetti a ribasso, oltre ad IVA al 22%,</w:t>
      </w:r>
    </w:p>
    <w:p>
      <w:pPr>
        <w:pStyle w:val="Normal"/>
        <w:tabs>
          <w:tab w:val="left" w:pos="567" w:leader="none"/>
          <w:tab w:val="left" w:pos="720" w:leader="none"/>
        </w:tabs>
        <w:ind w:left="567" w:hanging="283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</w:r>
    </w:p>
    <w:p>
      <w:pPr>
        <w:pStyle w:val="Normal"/>
        <w:tabs>
          <w:tab w:val="left" w:pos="567" w:leader="none"/>
          <w:tab w:val="left" w:pos="720" w:leader="none"/>
        </w:tabs>
        <w:ind w:hanging="0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cs="Arial" w:ascii="Arial" w:hAnsi="Arial"/>
          <w:color w:val="000000"/>
          <w:sz w:val="24"/>
          <w:szCs w:val="24"/>
          <w:lang w:eastAsia="en-US"/>
        </w:rPr>
      </w:r>
    </w:p>
    <w:p>
      <w:pPr>
        <w:pStyle w:val="Normal"/>
        <w:spacing w:lineRule="auto" w:line="252" w:before="0" w:after="7"/>
        <w:ind w:left="-5" w:right="4215" w:hanging="0"/>
        <w:jc w:val="left"/>
        <w:rPr/>
      </w:pPr>
      <w:r>
        <w:rPr>
          <w:rFonts w:cs="Arial" w:ascii="Arial" w:hAnsi="Arial"/>
          <w:b/>
          <w:sz w:val="24"/>
          <w:szCs w:val="24"/>
        </w:rPr>
        <w:t xml:space="preserve">Considerato che: 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ind w:left="567" w:hanging="283"/>
        <w:rPr/>
      </w:pPr>
      <w:r>
        <w:rPr>
          <w:rFonts w:cs="Arial" w:ascii="Arial" w:hAnsi="Arial"/>
          <w:color w:val="000000"/>
          <w:sz w:val="24"/>
          <w:szCs w:val="24"/>
          <w:lang w:eastAsia="en-US"/>
        </w:rPr>
        <w:t>a seguito di verifiche effettuate presso le strutture comunali in oggetto, mediante specifici sopralluoghi da parte dei tecnici comunali, è stata riscontrata la necessità di dar corso alle seguenti ulteriori attività manutentive straordinarie di natura edile a carattere di urgenza e indifferibilità, non previste in origine nei precedenti affidamenti richiamati in premessa:</w:t>
      </w:r>
    </w:p>
    <w:p>
      <w:pPr>
        <w:pStyle w:val="Normal"/>
        <w:numPr>
          <w:ilvl w:val="0"/>
          <w:numId w:val="0"/>
        </w:numPr>
        <w:tabs>
          <w:tab w:val="left" w:pos="567" w:leader="none"/>
          <w:tab w:val="left" w:pos="720" w:leader="none"/>
        </w:tabs>
        <w:ind w:left="284" w:hanging="0"/>
        <w:jc w:val="left"/>
        <w:rPr/>
      </w:pPr>
      <w:r>
        <w:rPr>
          <w:rFonts w:cs="Arial" w:ascii="Arial" w:hAnsi="Arial"/>
          <w:b w:val="false"/>
          <w:bCs w:val="false"/>
          <w:i/>
          <w:iCs/>
          <w:color w:val="000000"/>
          <w:sz w:val="24"/>
          <w:szCs w:val="24"/>
          <w:lang w:eastAsia="en-US"/>
        </w:rPr>
        <w:t xml:space="preserve"> </w:t>
      </w:r>
      <w:r>
        <w:rPr>
          <w:rFonts w:cs="Arial" w:ascii="Arial" w:hAnsi="Arial"/>
          <w:b w:val="false"/>
          <w:bCs w:val="false"/>
          <w:i/>
          <w:iCs/>
          <w:color w:val="000000"/>
          <w:sz w:val="24"/>
          <w:szCs w:val="24"/>
          <w:lang w:eastAsia="en-US"/>
        </w:rPr>
        <w:t>-</w:t>
      </w:r>
      <w:r>
        <w:rPr>
          <w:rFonts w:cs="Arial" w:ascii="Arial" w:hAnsi="Arial"/>
          <w:b w:val="false"/>
          <w:bCs w:val="false"/>
          <w:i/>
          <w:iCs/>
          <w:color w:val="000000"/>
          <w:sz w:val="24"/>
          <w:szCs w:val="24"/>
          <w:u w:val="single"/>
          <w:lang w:eastAsia="en-US"/>
        </w:rPr>
        <w:t xml:space="preserve"> </w:t>
      </w:r>
      <w:r>
        <w:rPr>
          <w:rFonts w:cs="Arial" w:ascii="sans-serif" w:hAnsi="sans-serif"/>
          <w:b w:val="false"/>
          <w:bCs w:val="false"/>
          <w:i/>
          <w:iCs/>
          <w:color w:val="000000"/>
          <w:sz w:val="22"/>
          <w:szCs w:val="22"/>
          <w:u w:val="single"/>
          <w:lang w:eastAsia="en-US"/>
        </w:rPr>
        <w:t>Palazzo pubblici uffici:</w:t>
      </w: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lang w:eastAsia="en-US"/>
        </w:rPr>
        <w:t xml:space="preserve"> </w:t>
      </w:r>
      <w:r>
        <w:rPr>
          <w:rFonts w:cs="Arial" w:ascii="sans-serif" w:hAnsi="sans-serif"/>
          <w:color w:val="000000"/>
          <w:sz w:val="22"/>
          <w:szCs w:val="22"/>
          <w:lang w:eastAsia="en-US"/>
        </w:rPr>
        <w:t>I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ntervento di risanamento ambienti interni Commissariato pitturazioni e </w:t>
        <w:tab/>
        <w:t>riprese ca;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opere di battitura e messa in sicurezza del sottogronda a pignatte della parte </w:t>
        <w:tab/>
        <w:t>architettonica denominata“vela”dell’edificio;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br/>
        <w:tab/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rifacimento guaina piano copertura su ufficio tribunale giudice di pace;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posa nuovi canali lato </w:t>
        <w:tab/>
        <w:t>nord edificio;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posa nuova parziale copertura in policarbonato;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ripresa guaine esistenti su </w:t>
        <w:tab/>
        <w:t>diverse porzioni edificio compresa “vela”;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ripristino funzionalità pluviali ostruiti;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approntamenti </w:t>
        <w:tab/>
        <w:t>di sicurezza per consentire operatività manutentiva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>;</w:t>
      </w:r>
    </w:p>
    <w:p>
      <w:pPr>
        <w:pStyle w:val="Normal"/>
        <w:numPr>
          <w:ilvl w:val="0"/>
          <w:numId w:val="0"/>
        </w:numPr>
        <w:tabs>
          <w:tab w:val="left" w:pos="567" w:leader="none"/>
          <w:tab w:val="left" w:pos="720" w:leader="none"/>
        </w:tabs>
        <w:ind w:left="284" w:hanging="0"/>
        <w:jc w:val="left"/>
        <w:rPr/>
      </w:pP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- </w:t>
        <w:tab/>
      </w:r>
      <w:r>
        <w:rPr>
          <w:rFonts w:cs="Arial" w:ascii="sans-serif" w:hAnsi="sans-serif"/>
          <w:i/>
          <w:iCs/>
          <w:color w:val="000000"/>
          <w:sz w:val="22"/>
          <w:szCs w:val="22"/>
          <w:u w:val="single"/>
          <w:lang w:eastAsia="en-US"/>
        </w:rPr>
        <w:t>Cappella presso cimitero centrale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: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Ricorsa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del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manto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di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copertura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con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recupero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materiale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in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  <w:tab/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situ,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riparazione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e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ripresa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>listellatura secondaria;</w:t>
      </w:r>
      <w:r>
        <w:rPr>
          <w:rFonts w:cs="Arial" w:ascii="Arial" w:hAnsi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cs="Arial" w:ascii="sans-serif" w:hAnsi="sans-serif"/>
          <w:i/>
          <w:iCs/>
          <w:color w:val="000000"/>
          <w:sz w:val="22"/>
          <w:szCs w:val="22"/>
          <w:lang w:eastAsia="en-US"/>
        </w:rPr>
        <w:t xml:space="preserve">rifacimento guaina su zona absidale; </w:t>
      </w:r>
    </w:p>
    <w:p>
      <w:pPr>
        <w:pStyle w:val="Normal"/>
        <w:numPr>
          <w:ilvl w:val="0"/>
          <w:numId w:val="2"/>
        </w:numPr>
        <w:tabs>
          <w:tab w:val="left" w:pos="567" w:leader="none"/>
          <w:tab w:val="left" w:pos="720" w:leader="none"/>
        </w:tabs>
        <w:rPr/>
      </w:pPr>
      <w:r>
        <w:rPr>
          <w:rFonts w:cs="Arial" w:ascii="Arial" w:hAnsi="Arial"/>
          <w:color w:val="000000"/>
          <w:sz w:val="24"/>
          <w:szCs w:val="24"/>
          <w:lang w:eastAsia="en-US"/>
        </w:rPr>
        <w:t xml:space="preserve">tali ulteriori prestazioni lavorative straordinarie, aventi carattere d’urgenza e </w:t>
        <w:tab/>
        <w:t xml:space="preserve">indifferibilità, non ricomprese in quelle affidate in precedenza con le sopra richiamate </w:t>
        <w:tab/>
        <w:t xml:space="preserve">determinazioni dirigenziali 20/09/2021 n. 520 e 04/11/2021 n. 590, di natura </w:t>
        <w:tab/>
        <w:t xml:space="preserve">sostanzialmente analoga dal punto di vista tecnico alle stesse, sono state </w:t>
        <w:tab/>
        <w:t xml:space="preserve">specificamente individuate e computate negli allegati elaborati di definizione tecnica </w:t>
        <w:tab/>
        <w:t xml:space="preserve">e fotografica, parte integrante e sostanziale alla presente determinazione sub. A), </w:t>
        <w:tab/>
        <w:t>che con la presente si intendono formalmente approva;</w:t>
      </w:r>
    </w:p>
    <w:p>
      <w:pPr>
        <w:pStyle w:val="ListParagraph"/>
        <w:widowControl/>
        <w:numPr>
          <w:ilvl w:val="0"/>
          <w:numId w:val="3"/>
        </w:numPr>
        <w:bidi w:val="0"/>
        <w:spacing w:before="0" w:after="110"/>
        <w:ind w:left="737" w:right="0" w:hanging="340"/>
        <w:contextualSpacing/>
        <w:jc w:val="both"/>
        <w:rPr/>
      </w:pPr>
      <w:r>
        <w:rPr>
          <w:sz w:val="24"/>
          <w:szCs w:val="24"/>
        </w:rPr>
        <w:t>stanti le ulteriori e sopraggiunte operatività sopra evidenziate e la necessità di proseguire e completare alcuni degli interventi in corso di esecuzione e precedentemente affidati,  si è reso opportuno effettuare una nuova richiesta di offerta interpellando la medesima Ditta attualment</w:t>
      </w:r>
      <w:r>
        <w:rPr>
          <w:sz w:val="24"/>
          <w:szCs w:val="24"/>
          <w:lang w:eastAsia="en-US"/>
        </w:rPr>
        <w:t>e operante nell’ambito de</w:t>
      </w:r>
      <w:r>
        <w:rPr>
          <w:sz w:val="24"/>
          <w:szCs w:val="24"/>
          <w:lang w:eastAsia="en-US"/>
        </w:rPr>
        <w:t>gli</w:t>
      </w:r>
      <w:r>
        <w:rPr>
          <w:sz w:val="24"/>
          <w:szCs w:val="24"/>
          <w:lang w:eastAsia="en-US"/>
        </w:rPr>
        <w:t xml:space="preserve"> intervent</w:t>
      </w:r>
      <w:r>
        <w:rPr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 xml:space="preserve"> affidat</w:t>
      </w:r>
      <w:r>
        <w:rPr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 xml:space="preserve"> con l</w:t>
      </w:r>
      <w:bookmarkStart w:id="4" w:name="__DdeLink__325_1950672315"/>
      <w:r>
        <w:rPr>
          <w:sz w:val="24"/>
          <w:szCs w:val="24"/>
          <w:lang w:eastAsia="en-US"/>
        </w:rPr>
        <w:t xml:space="preserve">e richiamate determinazioni dirigenziali 20/09/2021 n. 520  e </w:t>
      </w:r>
      <w:r>
        <w:rPr>
          <w:rFonts w:cs="Arial"/>
          <w:color w:val="000000"/>
          <w:sz w:val="24"/>
          <w:szCs w:val="24"/>
          <w:lang w:eastAsia="en-US"/>
        </w:rPr>
        <w:t>04/11/2021 n. 590,</w:t>
      </w:r>
      <w:r>
        <w:rPr>
          <w:sz w:val="24"/>
          <w:szCs w:val="24"/>
          <w:lang w:eastAsia="en-US"/>
        </w:rPr>
        <w:t xml:space="preserve"> </w:t>
      </w:r>
      <w:bookmarkEnd w:id="4"/>
      <w:r>
        <w:rPr>
          <w:sz w:val="24"/>
          <w:szCs w:val="24"/>
          <w:lang w:eastAsia="en-US"/>
        </w:rPr>
        <w:t>sulla base di valutazioni tecniche e di opportunità</w:t>
      </w:r>
      <w:r>
        <w:rPr>
          <w:i/>
          <w:iCs/>
          <w:sz w:val="24"/>
          <w:szCs w:val="24"/>
        </w:rPr>
        <w:t xml:space="preserve"> (operatività analoghe a quelle oggetto degli affidamenti precedenti, </w:t>
      </w:r>
      <w:r>
        <w:rPr>
          <w:i/>
          <w:iCs/>
          <w:sz w:val="24"/>
          <w:szCs w:val="24"/>
        </w:rPr>
        <w:t>cantieri di intervento attigui,</w:t>
      </w:r>
      <w:r>
        <w:rPr>
          <w:i/>
          <w:iCs/>
          <w:sz w:val="24"/>
          <w:szCs w:val="24"/>
        </w:rPr>
        <w:t xml:space="preserve"> riduzione dei costi e dei tempi di realizzazione, nessuna interferenza in sede di esecuzione, stesse prescrizioni in materia di sicurezza)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 xml:space="preserve">il RUP ha pertanto determinato, come risultante dalla specifica definizione tecnica e computazione delle operatività da eseguirsi, di cui all’apposita </w:t>
      </w:r>
      <w:r>
        <w:rPr>
          <w:sz w:val="24"/>
          <w:szCs w:val="24"/>
          <w:lang w:eastAsia="en-US"/>
        </w:rPr>
        <w:t>documentazione predisposta e allegata parte integrante sub. A) alla presente determinazione,</w:t>
      </w:r>
      <w:bookmarkStart w:id="5" w:name="_Hlk76396043"/>
      <w:r>
        <w:rPr>
          <w:sz w:val="24"/>
          <w:szCs w:val="24"/>
        </w:rPr>
        <w:t xml:space="preserve"> il corrispettivo da porre a base di offerta per lo svolgimento di tali ulteriori interventi urgenti e indifferibili, così come previsto dall’art. 24, comma 8 del D.Lgs. 18/04/2016, n. 50, in complessivi €. 39.900,00, esclusa IVA, di cui €.39.000,00 per importo lavori a base d’appalto ed €.900,00 per oneri della sicurezza non soggetti a ribasso;</w:t>
      </w:r>
    </w:p>
    <w:p>
      <w:pPr>
        <w:pStyle w:val="ListParagraph"/>
        <w:numPr>
          <w:ilvl w:val="0"/>
          <w:numId w:val="3"/>
        </w:numPr>
        <w:rPr/>
      </w:pPr>
      <w:r>
        <w:rPr>
          <w:sz w:val="24"/>
          <w:szCs w:val="24"/>
        </w:rPr>
        <w:t>tale importo, sommato a quelli precedentemente assegnati e impegnati con l</w:t>
      </w:r>
      <w:r>
        <w:rPr>
          <w:sz w:val="24"/>
          <w:szCs w:val="24"/>
          <w:lang w:eastAsia="en-US"/>
        </w:rPr>
        <w:t xml:space="preserve">e richiamate determinazioni dirigenziali 20/09/2021 n. 520  e </w:t>
      </w:r>
      <w:r>
        <w:rPr>
          <w:rFonts w:cs="Arial"/>
          <w:color w:val="000000"/>
          <w:sz w:val="24"/>
          <w:szCs w:val="24"/>
          <w:lang w:eastAsia="en-US"/>
        </w:rPr>
        <w:t>04/11/2021 n. 590,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non supera </w:t>
      </w:r>
      <w:r>
        <w:rPr>
          <w:sz w:val="24"/>
          <w:szCs w:val="24"/>
        </w:rPr>
        <w:t>comunque</w:t>
      </w:r>
      <w:r>
        <w:rPr>
          <w:sz w:val="24"/>
          <w:szCs w:val="24"/>
        </w:rPr>
        <w:t xml:space="preserve"> complessivamente la soglia di valore prevista dall’art. 36 comma 1, lett. a) del D.Lgs. 18/04/2016, n. 50, con le deroghe introdotte dall’art 1, comma 1, lett. a) del D.L.16/07/2020, n. 76, convertito con modificazioni nella Legge 11/09/2020, n. 120 e dall'art. 51, comma 1, lettera a), sub. 2.2), del D.L. 31/05/2021, n. 77 convertito, con modificazioni, nella Legge 29/07/2021, n. 108, che trovano applicazione, nella fattispecie, quale limite al di sotto del quale risulta possibile per le stazioni appaltanti affidare </w:t>
      </w:r>
      <w:r>
        <w:rPr>
          <w:i/>
          <w:iCs/>
          <w:sz w:val="24"/>
          <w:szCs w:val="24"/>
        </w:rPr>
        <w:t xml:space="preserve">direttamente </w:t>
      </w:r>
      <w:r>
        <w:rPr>
          <w:sz w:val="24"/>
          <w:szCs w:val="24"/>
        </w:rPr>
        <w:t xml:space="preserve">lavori a soggetto idoneamente qualificato </w:t>
      </w:r>
      <w:r>
        <w:rPr>
          <w:i/>
          <w:iCs/>
          <w:sz w:val="24"/>
          <w:szCs w:val="24"/>
        </w:rPr>
        <w:t xml:space="preserve">(soglia di valore </w:t>
      </w:r>
      <w:r>
        <w:rPr>
          <w:i/>
          <w:iCs/>
          <w:sz w:val="24"/>
          <w:szCs w:val="24"/>
        </w:rPr>
        <w:t>complesiva</w:t>
      </w:r>
      <w:r>
        <w:rPr>
          <w:i/>
          <w:iCs/>
          <w:sz w:val="24"/>
          <w:szCs w:val="24"/>
        </w:rPr>
        <w:t xml:space="preserve"> inferiore all’importo di euro 150.000,00, </w:t>
      </w:r>
      <w:r>
        <w:rPr>
          <w:i/>
          <w:iCs/>
          <w:sz w:val="24"/>
          <w:szCs w:val="24"/>
        </w:rPr>
        <w:t>oltre IVA</w:t>
      </w:r>
      <w:r>
        <w:rPr>
          <w:i/>
          <w:iCs/>
          <w:sz w:val="24"/>
          <w:szCs w:val="24"/>
        </w:rPr>
        <w:t>);</w:t>
      </w:r>
      <w:bookmarkEnd w:id="5"/>
      <w:r>
        <w:rPr>
          <w:sz w:val="24"/>
          <w:szCs w:val="24"/>
        </w:rPr>
        <w:t xml:space="preserve">  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 xml:space="preserve">come da </w:t>
      </w:r>
      <w:r>
        <w:rPr>
          <w:i/>
          <w:iCs/>
          <w:sz w:val="24"/>
          <w:szCs w:val="24"/>
        </w:rPr>
        <w:t xml:space="preserve">report </w:t>
      </w:r>
      <w:r>
        <w:rPr>
          <w:sz w:val="24"/>
          <w:szCs w:val="24"/>
        </w:rPr>
        <w:t xml:space="preserve">della procedura, con richiesta di offerta effettuata dal RUP sulla piattaforma di e-procurement della Regione Lombardia (SINTEL) n. 150081283, allegata alla presente determinazione per farne parte integrante e sostanziale sub. B), tali  lavori sono stati pertanto affidati direttamente alla Ditta CO.RA GLOBAL SERVICE SRL P. IVA / Cod. Istat 08233900961 Indirizzo VIA TRIESTE, 110, 20812 - LIMBIATE , con un’offerta in ribasso del 2,71% sull’importo a corpo dei lavori preventivati e posti a base di offerta, pari a un importo contrattuale di </w:t>
      </w:r>
      <w:bookmarkStart w:id="6" w:name="_Hlk76392567"/>
      <w:r>
        <w:rPr>
          <w:sz w:val="24"/>
          <w:szCs w:val="24"/>
        </w:rPr>
        <w:t>€.38.843,10</w:t>
      </w:r>
      <w:bookmarkEnd w:id="6"/>
      <w:r>
        <w:rPr>
          <w:sz w:val="24"/>
          <w:szCs w:val="24"/>
        </w:rPr>
        <w:t>, oltre IVA, comprensivo di oneri della sicurezza ammontanti a Euro 900,00;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>la suddetta offerta risulta congrua, in rapporto alla qualità delle prestazioni, e risponde all’interesse pubblico che la stazione appaltante deve soddisfare;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>sono estesi al contraente gli obblighi previsti dall’art. 1, comma 17 della Legge 06/11/2012, n. 190 e del conseguente Piano Nazionale Anticorruzione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>il codice CIG è quello evidenziato in oggetto e che l’operatore economico si assume tutti gli oneri di tracciabilità dei flussi finanziari previsti dall’3 della Legge 13/08/2010, n.136 come modificato dall’art.7 del D.L. 12/11/2010, 187 (c.d. legge sulla tracciabilità dei flussi finanziari);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 xml:space="preserve">è stato predisposto, firmato e conservato nel fascicolo di ufficio, l’atto interno a corredo dell’attività di assegnazione contratti ai sensi dell’art. 1, comma 9 lettera e) della Legge 06/11/2012, n. 190 e dell’art. 10 comma 2 lettera a) del P.T.P.C.; 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>la proposta di determinazione di cui è caso, predisposta dal Responsabile del procedimento cui essa afferisce, e dallo stesso inserita nel flusso documentale dell’Ente, la qual cosa ne sancisce la provenienza, la titolarità e la sottoscrizione, è tecnicamente regolare nei termini indicati dall’art. 147-</w:t>
      </w:r>
      <w:r>
        <w:rPr>
          <w:i/>
          <w:sz w:val="24"/>
          <w:szCs w:val="24"/>
        </w:rPr>
        <w:t>bis</w:t>
      </w:r>
      <w:r>
        <w:rPr>
          <w:sz w:val="24"/>
          <w:szCs w:val="24"/>
        </w:rPr>
        <w:t>, comma 1 del D.Lgs. 18/8/2000, n. 267, introdotto dal D.L. 10/10/2012, n. 174, convertito nella Legge 7/12/2012, n. 213;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color w:val="7030A0"/>
          <w:sz w:val="24"/>
          <w:szCs w:val="24"/>
        </w:rPr>
        <w:t>I</w:t>
      </w:r>
      <w:r>
        <w:rPr>
          <w:sz w:val="24"/>
          <w:szCs w:val="24"/>
        </w:rPr>
        <w:t xml:space="preserve">l presente atto è conforme al principio di segmentazione procedimentale stabilito dall’art. 20, comma 1 del nuovo Regolamento per la disciplina degli uffici e di servizi approvato con deliberazione della Giunta Comunale 20/12/2016, n. 169, integrato e modificato con deliberazione del 17/04/2019 , n. 40, entrambe efficaci ai sensi di legge, in applicazione delle linee guida sul tema dell’Anticorruzione approvate dal Consiglio Comunale con deliberazione del 12/12/2016, n. 72 e delle deliberazioni della Giunta Comunale 01/02/2017, n.14 a oggetto </w:t>
      </w:r>
      <w:r>
        <w:rPr>
          <w:i/>
          <w:iCs/>
          <w:sz w:val="24"/>
          <w:szCs w:val="24"/>
        </w:rPr>
        <w:t>“Piano Triennale di Prevenzione della Corruzione 2017 – 2018 e 2019. Approvazione”</w:t>
      </w:r>
      <w:r>
        <w:rPr>
          <w:sz w:val="24"/>
          <w:szCs w:val="24"/>
        </w:rPr>
        <w:t xml:space="preserve"> e 05/02/2018, n. 7, a oggetto </w:t>
      </w:r>
      <w:r>
        <w:rPr>
          <w:i/>
          <w:iCs/>
          <w:sz w:val="24"/>
          <w:szCs w:val="24"/>
        </w:rPr>
        <w:t>“Piano Triennale di Prevenzione della Corruzione e programma triennale per la trasparenza e l’integrità 2018-2019-2020. Approvazione”</w:t>
      </w:r>
      <w:r>
        <w:rPr>
          <w:sz w:val="24"/>
          <w:szCs w:val="24"/>
        </w:rPr>
        <w:t>, 30/01/2019, n. 13, a oggetto</w:t>
      </w:r>
      <w:r>
        <w:rPr>
          <w:i/>
          <w:iCs/>
          <w:sz w:val="24"/>
          <w:szCs w:val="24"/>
        </w:rPr>
        <w:t xml:space="preserve"> “Piano Triennale di Prevenzione della Corruzione e programma triennale per la trasparenza e l’integrità 2019-2020-2021 – Approvazione”, </w:t>
      </w:r>
      <w:r>
        <w:rPr>
          <w:sz w:val="24"/>
          <w:szCs w:val="24"/>
        </w:rPr>
        <w:t xml:space="preserve">n. 48 del 13/05/2020 a oggetto </w:t>
      </w:r>
      <w:r>
        <w:rPr>
          <w:i/>
          <w:iCs/>
          <w:sz w:val="24"/>
          <w:szCs w:val="24"/>
        </w:rPr>
        <w:t xml:space="preserve">“Piano Triennale di Prevenzione della Corruzione e programma triennale per la trasparenza e l’integrità 2020-2021-2022 – Approvazione definitiva”  </w:t>
      </w:r>
      <w:r>
        <w:rPr>
          <w:sz w:val="24"/>
          <w:szCs w:val="24"/>
        </w:rPr>
        <w:t>e n. 41 del 13/04/2021 a oggetto</w:t>
      </w:r>
      <w:r>
        <w:rPr>
          <w:i/>
          <w:iCs/>
          <w:sz w:val="24"/>
          <w:szCs w:val="24"/>
        </w:rPr>
        <w:t xml:space="preserve"> “Piano Triennale di Prevenzione della Corruzione e programma triennale per la trasparenza e l’integrità 2021-2022-2023,  </w:t>
      </w:r>
      <w:r>
        <w:rPr>
          <w:sz w:val="24"/>
          <w:szCs w:val="24"/>
        </w:rPr>
        <w:t xml:space="preserve">tutte efficaci ai sensi di legge; </w:t>
      </w:r>
    </w:p>
    <w:p>
      <w:pPr>
        <w:pStyle w:val="Normal"/>
        <w:spacing w:lineRule="auto" w:line="252"/>
        <w:ind w:left="720" w:hanging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0" w:hanging="0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</w:rPr>
        <w:t xml:space="preserve">Ritenuto </w:t>
      </w:r>
      <w:r>
        <w:rPr>
          <w:rFonts w:cs="Arial" w:ascii="Arial" w:hAnsi="Arial"/>
          <w:sz w:val="24"/>
          <w:szCs w:val="24"/>
        </w:rPr>
        <w:t xml:space="preserve">di fare propria attribuendole efficacia esterna e dunque di approvare ad ogni fine di legge la proposta di determinazione predisposta dal Responsabile del procedimento meglio evidenziata in preambolo, che stabilisce:  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 xml:space="preserve">di </w:t>
      </w:r>
      <w:bookmarkStart w:id="7" w:name="__DdeLink__2069_2148567229"/>
      <w:r>
        <w:rPr>
          <w:sz w:val="24"/>
          <w:szCs w:val="24"/>
        </w:rPr>
        <w:t xml:space="preserve">affidare i lavori, di cui al presente atto, all’operatore economico e alle condizioni tecniche e contrattuali riportate negli elaborati predisposti dal RUP, i quali vengono allegati parte integrante e sostanziale sub A) alla presente determinazione </w:t>
      </w:r>
      <w:bookmarkStart w:id="8" w:name="__DdeLink__344_2237239636"/>
      <w:r>
        <w:rPr>
          <w:sz w:val="24"/>
          <w:szCs w:val="24"/>
        </w:rPr>
        <w:t>e con la stessa si intendono formalmente approvat</w:t>
      </w:r>
      <w:bookmarkEnd w:id="7"/>
      <w:bookmarkEnd w:id="8"/>
      <w:r>
        <w:rPr>
          <w:sz w:val="24"/>
          <w:szCs w:val="24"/>
        </w:rPr>
        <w:t>i e per l’importo tutti meglio evidenziati in preambolo e indicati in oggetto, subordinando l’efficacia della presente determinazione all’esito positivo delle verifiche previste dalla e meglio specificate dalle Linee guida Anac n. 4, aggiornate con deliberazioni dell’Autorità 01/03/2018, n. 206 e n. 636 del 10/07/2019;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bookmarkStart w:id="9" w:name="__DdeLink__468_2703207845"/>
      <w:r>
        <w:rPr>
          <w:sz w:val="24"/>
          <w:szCs w:val="24"/>
        </w:rPr>
        <w:t xml:space="preserve">di disporre, </w:t>
      </w:r>
      <w:bookmarkEnd w:id="9"/>
      <w:r>
        <w:rPr>
          <w:sz w:val="24"/>
          <w:szCs w:val="24"/>
        </w:rPr>
        <w:t>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4"/>
          <w:szCs w:val="24"/>
        </w:rPr>
        <w:t>di assumere, ai sensi dell’art. 183, comma 3 del D.lgs 18/08/2000, n. 267, l’impegno di spesa relativo all’importo dei lavori in oggetto, per complessivi €. 47.388,58, comprensivo di IVA al 22%, oltre ad €.678,30, quale impegno di spesa riferito alle prestazioni effettuate e da effettuarsi da parte del nucleo di funzioni tecniche (</w:t>
      </w:r>
      <w:r>
        <w:rPr>
          <w:i/>
          <w:iCs/>
          <w:sz w:val="24"/>
          <w:szCs w:val="24"/>
        </w:rPr>
        <w:t xml:space="preserve">Team </w:t>
      </w:r>
      <w:r>
        <w:rPr>
          <w:sz w:val="24"/>
          <w:szCs w:val="24"/>
        </w:rPr>
        <w:t xml:space="preserve">di progettazione), individuato con atto dirigenziale 25/06//2021, n. 1003, per un totale complessivo di </w:t>
      </w:r>
      <w:r>
        <w:rPr>
          <w:b/>
          <w:bCs/>
          <w:sz w:val="24"/>
          <w:szCs w:val="24"/>
        </w:rPr>
        <w:t>Euro 48.066,88</w:t>
      </w:r>
      <w:r>
        <w:rPr>
          <w:sz w:val="24"/>
          <w:szCs w:val="24"/>
        </w:rPr>
        <w:t xml:space="preserve"> con imputazione agli strumenti contabili nei termini sottoindicati in ragione dell’esigibilità delle relative obbligazioni passive a carico dell’amministrazione comunale:</w:t>
      </w:r>
    </w:p>
    <w:p>
      <w:pPr>
        <w:pStyle w:val="ListParagraph"/>
        <w:ind w:left="629" w:hanging="0"/>
        <w:rPr>
          <w:sz w:val="20"/>
          <w:szCs w:val="20"/>
        </w:rPr>
      </w:pPr>
      <w:r>
        <w:rPr>
          <w:sz w:val="24"/>
          <w:szCs w:val="24"/>
        </w:rPr>
        <w:t>- Bilancio di previsione 2022</w:t>
      </w:r>
    </w:p>
    <w:p>
      <w:pPr>
        <w:pStyle w:val="ListParagraph"/>
        <w:ind w:left="629" w:hanging="0"/>
        <w:rPr>
          <w:sz w:val="20"/>
          <w:szCs w:val="20"/>
        </w:rPr>
      </w:pPr>
      <w:r>
        <w:rPr>
          <w:sz w:val="24"/>
          <w:szCs w:val="24"/>
        </w:rPr>
        <w:t>- P.E.G.: capitolo 4715</w:t>
      </w:r>
    </w:p>
    <w:p>
      <w:pPr>
        <w:pStyle w:val="Normal"/>
        <w:ind w:left="629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itolo1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4"/>
          <w:szCs w:val="24"/>
        </w:rPr>
        <w:t xml:space="preserve">DETERMINA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-15" w:hanging="0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</w:rPr>
        <w:t>di fare propria attribuendole efficacia esterna e dunque di approvare ad ogni fine di legge</w:t>
      </w:r>
      <w:r>
        <w:rPr>
          <w:rFonts w:cs="Arial" w:ascii="Arial" w:hAnsi="Arial"/>
          <w:sz w:val="24"/>
          <w:szCs w:val="24"/>
        </w:rPr>
        <w:t xml:space="preserve"> la proposta di determinazione predisposta dal Responsabile del procedimento meglio evidenziata in preambolo, che stabilisce: </w:t>
      </w:r>
    </w:p>
    <w:p>
      <w:pPr>
        <w:pStyle w:val="Normal"/>
        <w:ind w:left="709" w:right="-15" w:hanging="709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ind w:left="567" w:hanging="283"/>
        <w:rPr>
          <w:sz w:val="20"/>
          <w:szCs w:val="20"/>
        </w:rPr>
      </w:pPr>
      <w:r>
        <w:rPr>
          <w:b/>
          <w:sz w:val="24"/>
          <w:szCs w:val="24"/>
        </w:rPr>
        <w:t xml:space="preserve">1. di affidare </w:t>
      </w:r>
      <w:r>
        <w:rPr>
          <w:sz w:val="24"/>
          <w:szCs w:val="24"/>
        </w:rPr>
        <w:t xml:space="preserve">  di affidare i lavori, di cui al presente atto, all’operatore economico e alle condizioni tecniche e contrattuali riportate negli elaborati predisposti dal RUP,</w:t>
      </w:r>
      <w:r>
        <w:rPr>
          <w:color w:val="CE181E"/>
          <w:sz w:val="24"/>
          <w:szCs w:val="24"/>
        </w:rPr>
        <w:t xml:space="preserve"> </w:t>
      </w:r>
      <w:r>
        <w:rPr>
          <w:sz w:val="24"/>
          <w:szCs w:val="24"/>
        </w:rPr>
        <w:t>i quali vengono allegati parte integrante e sostanziale sub A) alla presente determinazione e con la stessa si intendono formalmente approvati e per l’importo tutti meglio evidenziati in preambolo e indicati in oggetto, subordinando l’efficacia della presente determinazione all’esito positivo delle verifiche previste dalla e meglio specificate dalle Linee guida Anac n. 4, aggiornate con deliberazioni dell’Autorità 01/03/2018, n. 206 e n. 636 del 10/07/2019;</w:t>
      </w:r>
    </w:p>
    <w:p>
      <w:pPr>
        <w:pStyle w:val="ListParagraph"/>
        <w:ind w:left="567" w:hanging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567" w:hanging="283"/>
        <w:rPr>
          <w:sz w:val="20"/>
          <w:szCs w:val="20"/>
        </w:rPr>
      </w:pP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di disporre,</w:t>
      </w:r>
      <w:r>
        <w:rPr>
          <w:sz w:val="24"/>
          <w:szCs w:val="24"/>
        </w:rPr>
        <w:t xml:space="preserve"> 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>
      <w:pPr>
        <w:pStyle w:val="ListParagraph"/>
        <w:ind w:left="567" w:hanging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567" w:hanging="283"/>
        <w:rPr>
          <w:sz w:val="20"/>
          <w:szCs w:val="20"/>
        </w:rPr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 assumere</w:t>
      </w:r>
      <w:r>
        <w:rPr>
          <w:sz w:val="24"/>
          <w:szCs w:val="24"/>
        </w:rPr>
        <w:t>, ai sensi dell’art. 183, comma 3 del D.lgs 18/08/2000, n. 267, l’impegno di spesa relativo all’importo dei lavori in oggetto, per complessivi €. 47.388,58, comprensivo di IVA al 22%, oltre ad €.678,30, quale impegno di spesa riferito alle prestazioni effettuate e da effettuarsi da parte del nucleo di funzioni tecniche (</w:t>
      </w:r>
      <w:r>
        <w:rPr>
          <w:i/>
          <w:iCs/>
          <w:sz w:val="24"/>
          <w:szCs w:val="24"/>
        </w:rPr>
        <w:t xml:space="preserve">Team </w:t>
      </w:r>
      <w:r>
        <w:rPr>
          <w:sz w:val="24"/>
          <w:szCs w:val="24"/>
        </w:rPr>
        <w:t xml:space="preserve">di progettazione), individuato con atto dirigenziale 25/06//2021, n. 1003, per un totale complessivo di </w:t>
      </w:r>
      <w:r>
        <w:rPr>
          <w:b/>
          <w:bCs/>
          <w:sz w:val="24"/>
          <w:szCs w:val="24"/>
        </w:rPr>
        <w:t>Euro 48.066,88</w:t>
      </w:r>
      <w:r>
        <w:rPr>
          <w:sz w:val="24"/>
          <w:szCs w:val="24"/>
        </w:rPr>
        <w:t xml:space="preserve"> con imputazione agli strumenti contabili nei termini sottoindicati in ragione dell’esigibilità delle relative obbligazioni passive a carico dell’amministrazione comunale:</w:t>
      </w:r>
    </w:p>
    <w:p>
      <w:pPr>
        <w:pStyle w:val="Normal"/>
        <w:ind w:left="709" w:hanging="0"/>
        <w:rPr>
          <w:rFonts w:ascii="Arial" w:hAnsi="Arial" w:eastAsia="Arial" w:cs="Arial"/>
          <w:color w:val="000000"/>
        </w:rPr>
      </w:pPr>
      <w:r>
        <w:rPr>
          <w:sz w:val="24"/>
          <w:szCs w:val="24"/>
        </w:rPr>
        <w:t xml:space="preserve">- </w:t>
      </w:r>
      <w:r>
        <w:rPr>
          <w:rFonts w:eastAsia="Arial" w:cs="Arial" w:ascii="Arial" w:hAnsi="Arial"/>
          <w:color w:val="000000"/>
          <w:sz w:val="24"/>
          <w:szCs w:val="24"/>
        </w:rPr>
        <w:t>Bilancio di previsione 2022</w:t>
      </w:r>
    </w:p>
    <w:p>
      <w:pPr>
        <w:pStyle w:val="Normal"/>
        <w:ind w:left="709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  <w:sz w:val="24"/>
          <w:szCs w:val="24"/>
        </w:rPr>
        <w:t>- P.E.G.: capitolo 4715</w:t>
      </w:r>
    </w:p>
    <w:p>
      <w:pPr>
        <w:pStyle w:val="ListParagraph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2"/>
        <w:ind w:left="709" w:hanging="0"/>
        <w:jc w:val="lef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52"/>
        <w:ind w:left="709" w:hanging="0"/>
        <w:jc w:val="lef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52"/>
        <w:ind w:left="709" w:hanging="0"/>
        <w:jc w:val="lef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tbl>
      <w:tblPr>
        <w:tblW w:w="988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9"/>
      </w:tblGrid>
      <w:tr>
        <w:trPr>
          <w:trHeight w:val="378" w:hRule="atLeast"/>
        </w:trPr>
        <w:tc>
          <w:tcPr>
            <w:tcW w:w="9889" w:type="dxa"/>
            <w:tcBorders/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>Allegati:</w:t>
            </w:r>
          </w:p>
          <w:p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Documentazione tecnica di appalto;</w:t>
            </w:r>
          </w:p>
          <w:p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report di affidamento dei lavori in oggetto sulla piattaforma di e-procurement della Regione Lombardia (SINTEL) n. 150081283.</w:t>
            </w:r>
          </w:p>
          <w:p>
            <w:pPr>
              <w:pStyle w:val="NoSpacing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</w:r>
          </w:p>
          <w:p>
            <w:pPr>
              <w:pStyle w:val="NoSpacing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ind w:left="142" w:firstLine="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88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44"/>
        <w:gridCol w:w="4944"/>
      </w:tblGrid>
      <w:tr>
        <w:trPr>
          <w:trHeight w:val="378" w:hRule="atLeast"/>
        </w:trPr>
        <w:tc>
          <w:tcPr>
            <w:tcW w:w="9888" w:type="dxa"/>
            <w:gridSpan w:val="2"/>
            <w:tcBorders/>
            <w:shd w:fill="auto" w:val="clear"/>
          </w:tcPr>
          <w:p>
            <w:pPr>
              <w:pStyle w:val="NoSpacing"/>
              <w:spacing w:before="0" w:after="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78" w:hRule="atLeast"/>
        </w:trPr>
        <w:tc>
          <w:tcPr>
            <w:tcW w:w="4944" w:type="dxa"/>
            <w:tcBorders/>
            <w:shd w:fill="auto" w:val="clear"/>
          </w:tcPr>
          <w:p>
            <w:pPr>
              <w:pStyle w:val="NoSpacing"/>
              <w:spacing w:before="0" w:after="0"/>
              <w:contextualSpacing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4944" w:type="dxa"/>
            <w:tcBorders/>
            <w:shd w:fill="auto" w:val="clear"/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sectPr>
      <w:footerReference w:type="default" r:id="rId3"/>
      <w:type w:val="nextPage"/>
      <w:pgSz w:w="11906" w:h="16838"/>
      <w:pgMar w:left="1134" w:right="1134" w:header="0" w:top="1418" w:footer="72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sans-serif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sz w:val="20"/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b/>
        <w:rFonts w:cs="Symbo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781"/>
    <w:pPr>
      <w:widowControl/>
      <w:bidi w:val="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link w:val="Titolo1Caratter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"/>
    <w:qFormat/>
    <w:pPr>
      <w:keepNext/>
      <w:spacing w:lineRule="auto" w:line="480"/>
      <w:jc w:val="center"/>
      <w:outlineLvl w:val="2"/>
    </w:pPr>
    <w:rPr>
      <w:b/>
      <w:sz w:val="28"/>
    </w:rPr>
  </w:style>
  <w:style w:type="paragraph" w:styleId="Titolo4">
    <w:name w:val="Heading 4"/>
    <w:basedOn w:val="Normal"/>
    <w:qFormat/>
    <w:pPr>
      <w:keepNext/>
      <w:outlineLvl w:val="3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10446"/>
    <w:rPr/>
  </w:style>
  <w:style w:type="character" w:styleId="Titolo1Carattere" w:customStyle="1">
    <w:name w:val="Titolo 1 Carattere"/>
    <w:link w:val="Titolo1"/>
    <w:qFormat/>
    <w:rsid w:val="00da3d2c"/>
    <w:rPr>
      <w:sz w:val="32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Symbol"/>
      <w:b w:val="false"/>
      <w:sz w:val="20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Arial" w:hAnsi="Arial" w:cs="Symbol"/>
      <w:b/>
      <w:sz w:val="22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ascii="Arial" w:hAnsi="Arial" w:cs="Arial"/>
      <w:sz w:val="20"/>
    </w:rPr>
  </w:style>
  <w:style w:type="character" w:styleId="ListLabel19">
    <w:name w:val="ListLabel 19"/>
    <w:qFormat/>
    <w:rPr>
      <w:rFonts w:ascii="Arial" w:hAnsi="Arial" w:cs="Symbol"/>
      <w:b/>
      <w:sz w:val="22"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29">
    <w:name w:val="ListLabel 29"/>
    <w:qFormat/>
    <w:rPr>
      <w:rFonts w:cs="Symbol"/>
      <w:b w:val="false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ascii="Arial" w:hAnsi="Arial" w:cs="OpenSymbol"/>
      <w:sz w:val="24"/>
    </w:rPr>
  </w:style>
  <w:style w:type="character" w:styleId="ListLabel39">
    <w:name w:val="ListLabel 39"/>
    <w:qFormat/>
    <w:rPr>
      <w:rFonts w:cs="Symbol"/>
      <w:sz w:val="20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ascii="Arial" w:hAnsi="Arial" w:cs="Arial"/>
      <w:sz w:val="20"/>
    </w:rPr>
  </w:style>
  <w:style w:type="character" w:styleId="ListLabel49">
    <w:name w:val="ListLabel 49"/>
    <w:qFormat/>
    <w:rPr>
      <w:rFonts w:ascii="Arial" w:hAnsi="Arial" w:cs="Symbol"/>
      <w:b/>
      <w:sz w:val="22"/>
    </w:rPr>
  </w:style>
  <w:style w:type="character" w:styleId="ListLabel50">
    <w:name w:val="ListLabel 50"/>
    <w:qFormat/>
    <w:rPr>
      <w:rFonts w:cs="Symbol"/>
      <w:sz w:val="24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semiHidden/>
    <w:pPr>
      <w:tabs>
        <w:tab w:val="center" w:pos="4819" w:leader="none"/>
        <w:tab w:val="right" w:pos="9638" w:leader="none"/>
      </w:tabs>
    </w:pPr>
    <w:rPr>
      <w:rFonts w:ascii="Arial" w:hAnsi="Arial"/>
    </w:rPr>
  </w:style>
  <w:style w:type="paragraph" w:styleId="Rientrocorpodeltesto">
    <w:name w:val="Body Text Indent"/>
    <w:basedOn w:val="Normal"/>
    <w:semiHidden/>
    <w:pPr>
      <w:spacing w:lineRule="auto" w:line="480"/>
      <w:ind w:firstLine="709"/>
    </w:pPr>
    <w:rPr>
      <w:sz w:val="24"/>
    </w:rPr>
  </w:style>
  <w:style w:type="paragraph" w:styleId="NoSpacing">
    <w:name w:val="No Spacing"/>
    <w:uiPriority w:val="1"/>
    <w:qFormat/>
    <w:rsid w:val="00311edc"/>
    <w:pPr>
      <w:widowControl/>
      <w:bidi w:val="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it-IT" w:eastAsia="it-IT" w:bidi="ar-SA"/>
    </w:rPr>
  </w:style>
  <w:style w:type="paragraph" w:styleId="Pidipagina">
    <w:name w:val="Footer"/>
    <w:basedOn w:val="Normal"/>
    <w:link w:val="PidipaginaCarattere"/>
    <w:uiPriority w:val="99"/>
    <w:unhideWhenUsed/>
    <w:rsid w:val="00010446"/>
    <w:pPr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rsid w:val="00da3d2c"/>
    <w:pPr>
      <w:spacing w:before="0" w:after="110"/>
      <w:ind w:left="720" w:hanging="10"/>
      <w:contextualSpacing/>
    </w:pPr>
    <w:rPr>
      <w:rFonts w:ascii="Arial" w:hAnsi="Arial" w:eastAsia="Arial" w:cs="Arial"/>
      <w:color w:val="000000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22</TotalTime>
  <Application>LibreOffice/5.4.1.2$Windows_X86_64 LibreOffice_project/ea7cb86e6eeb2bf3a5af73a8f7777ac570321527</Application>
  <Pages>6</Pages>
  <Words>2545</Words>
  <Characters>15036</Characters>
  <CharactersWithSpaces>17546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2022-02-01T11:00:00Z</dcterms:created>
  <dc:creator>milena</dc:creator>
  <dc:description/>
  <dc:language>it-IT</dc:language>
  <cp:lastModifiedBy/>
  <cp:lastPrinted>1996-08-28T15:03:00Z</cp:lastPrinted>
  <dcterms:modified xsi:type="dcterms:W3CDTF">2022-02-03T11:11:43Z</dcterms:modified>
  <cp:revision>5</cp:revision>
  <dc:subject/>
  <dc:title>{Copiaprima}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